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79C" w:rsidP="005D3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ACMGAS210 Prepare for and conduct a tour or presentation</w:t>
      </w:r>
      <w:r>
        <w:fldChar w:fldCharType="end"/>
      </w:r>
    </w:p>
    <w:p w:rsidR="005D379C" w:rsidP="005D379C">
      <w:pPr>
        <w:pStyle w:val="Version"/>
        <w:sectPr w:rsidSect="00B56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CAB" w:rsidP="00B56CAB">
      <w:pPr>
        <w:pStyle w:val="SuperHeading"/>
      </w:pPr>
      <w:r w:rsidRPr="00B56CAB">
        <w:t>ACMGAS210 Prepare for and conduct a tour or presentation</w:t>
      </w:r>
    </w:p>
    <w:p w:rsidR="00000000" w:rsidRPr="00B56CAB" w:rsidP="00B56CAB">
      <w:pPr>
        <w:pStyle w:val="Heading1"/>
      </w:pPr>
      <w:bookmarkStart w:id="1" w:name="O_868146"/>
      <w:bookmarkEnd w:id="1"/>
      <w:r w:rsidRPr="00B56CAB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B56C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rPr>
                <w:rStyle w:val="SpecialBold"/>
              </w:rPr>
              <w:t>Comments</w:t>
            </w:r>
          </w:p>
        </w:tc>
      </w:tr>
      <w:tr w:rsidTr="00B56C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t>This version released with ACM Animal Care and Management Training Package Version 1.0.</w:t>
            </w:r>
          </w:p>
        </w:tc>
      </w:tr>
    </w:tbl>
    <w:p w:rsidR="00000000" w:rsidRPr="00B56CAB" w:rsidP="00B56CAB">
      <w:pPr>
        <w:pStyle w:val="BodyText"/>
      </w:pPr>
    </w:p>
    <w:p w:rsidR="00000000" w:rsidRPr="00B56CAB" w:rsidP="00B56CAB">
      <w:pPr>
        <w:pStyle w:val="AllowPageBreak"/>
      </w:pPr>
    </w:p>
    <w:p w:rsidR="00000000" w:rsidRPr="00B56CAB" w:rsidP="00B56CAB">
      <w:pPr>
        <w:pStyle w:val="Heading1"/>
      </w:pPr>
      <w:bookmarkStart w:id="2" w:name="O_868147"/>
      <w:bookmarkEnd w:id="2"/>
      <w:r w:rsidRPr="00B56CAB">
        <w:t>Application</w:t>
      </w:r>
    </w:p>
    <w:p w:rsidR="00000000" w:rsidRPr="00B56CAB" w:rsidP="005D379C">
      <w:pPr>
        <w:pStyle w:val="BodyText"/>
      </w:pPr>
      <w:r w:rsidRPr="00B56CAB">
        <w:t>This unit of competency describes the skills and knowledge required to p</w:t>
      </w:r>
      <w:r w:rsidRPr="00B56CAB">
        <w:t>repare and conduct a tour or presentation within an animal care facility to meet the needs of a wide range of audiences.</w:t>
      </w:r>
    </w:p>
    <w:p w:rsidR="00000000" w:rsidRPr="00B56CAB" w:rsidP="005D379C">
      <w:pPr>
        <w:pStyle w:val="BodyText"/>
      </w:pPr>
      <w:r w:rsidRPr="00B56CAB">
        <w:t>This unit is applicable to those working in animal care industry sectors where tours or presentations are conducted. The tour may be a</w:t>
      </w:r>
      <w:r w:rsidRPr="00B56CAB">
        <w:t xml:space="preserve"> regular part of business operations, such as in a captive animal facility, or it may be a promotional activity aimed at attracting new clients, such as at a boarding kennel.</w:t>
      </w:r>
    </w:p>
    <w:p w:rsidR="00000000" w:rsidRPr="00B56CAB" w:rsidP="005D379C">
      <w:pPr>
        <w:pStyle w:val="BodyText"/>
      </w:pPr>
      <w:r w:rsidRPr="00B56CAB">
        <w:t>This unit applies to individuals who work under general supervision and exercise</w:t>
      </w:r>
      <w:r w:rsidRPr="00B56CAB">
        <w:t xml:space="preserve"> limited autonomy, who undertake defined activities and work in a structured context.</w:t>
      </w:r>
    </w:p>
    <w:p w:rsidR="00000000" w:rsidRPr="00B56CAB" w:rsidP="005D379C">
      <w:pPr>
        <w:pStyle w:val="BodyText"/>
      </w:pPr>
      <w:r w:rsidRPr="00B56CAB">
        <w:t>No occupational licensing, legislative or certification requirements are known to apply to this unit at the time of publication.</w:t>
      </w:r>
    </w:p>
    <w:p w:rsidR="00000000" w:rsidRPr="00B56CAB" w:rsidP="005D379C">
      <w:pPr>
        <w:pStyle w:val="BodyText"/>
      </w:pPr>
      <w:r w:rsidRPr="00B56CAB">
        <w:t xml:space="preserve">NOTE: The terms </w:t>
      </w:r>
      <w:r>
        <w:t>‘</w:t>
      </w:r>
      <w:r w:rsidRPr="00B56CAB">
        <w:t>occupational health and safety</w:t>
      </w:r>
      <w:r>
        <w:t>’</w:t>
      </w:r>
      <w:r w:rsidRPr="00B56CAB">
        <w:t xml:space="preserve"> (OHS) and </w:t>
      </w:r>
      <w:r>
        <w:t>‘</w:t>
      </w:r>
      <w:r w:rsidRPr="00B56CAB">
        <w:t>work health and safety</w:t>
      </w:r>
      <w:r>
        <w:t>’</w:t>
      </w:r>
      <w:r w:rsidRPr="00B56CAB">
        <w:t xml:space="preserve"> (WHS) generally have the same meaning in the workplace. In jurisdictions where the national model WHS legislation has not been implemented, RTOs must contextualise the unit</w:t>
      </w:r>
      <w:r w:rsidRPr="00B56CAB">
        <w:t xml:space="preserve"> of competency by referring to current OHS legislative requirements.</w:t>
      </w:r>
    </w:p>
    <w:p w:rsidR="00000000" w:rsidRPr="00B56CAB" w:rsidP="00B56CAB">
      <w:pPr>
        <w:pStyle w:val="Heading1"/>
      </w:pPr>
      <w:bookmarkStart w:id="3" w:name="O_868148"/>
      <w:bookmarkEnd w:id="3"/>
      <w:r w:rsidRPr="00B56CAB">
        <w:t>Pre-requisite Unit</w:t>
      </w:r>
    </w:p>
    <w:p w:rsidR="00000000" w:rsidRPr="00B56CAB" w:rsidP="005D379C">
      <w:pPr>
        <w:pStyle w:val="BodyText"/>
      </w:pPr>
      <w:r w:rsidRPr="00B56CAB">
        <w:t>Nil</w:t>
      </w:r>
    </w:p>
    <w:p w:rsidR="00000000" w:rsidRPr="00B56CAB" w:rsidP="00B56CAB">
      <w:pPr>
        <w:pStyle w:val="Heading1"/>
      </w:pPr>
      <w:bookmarkStart w:id="4" w:name="O_868150"/>
      <w:bookmarkEnd w:id="4"/>
      <w:r w:rsidRPr="00B56CAB">
        <w:t>Unit Sector</w:t>
      </w:r>
    </w:p>
    <w:p w:rsidR="00000000" w:rsidRPr="00B56CAB" w:rsidP="005D379C">
      <w:pPr>
        <w:pStyle w:val="BodyText"/>
      </w:pPr>
      <w:r w:rsidRPr="00B56CAB">
        <w:t>General Animal Studies (GAS)</w:t>
      </w:r>
    </w:p>
    <w:p w:rsidR="00000000" w:rsidRPr="00B56CAB" w:rsidP="00B56CAB">
      <w:pPr>
        <w:pStyle w:val="Heading1"/>
      </w:pPr>
      <w:bookmarkStart w:id="5" w:name="O_868151"/>
      <w:bookmarkEnd w:id="5"/>
      <w:r w:rsidRPr="00B56CA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D37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rPr>
                <w:rStyle w:val="SpecialBold"/>
              </w:rPr>
              <w:t>Performance criteria</w:t>
            </w:r>
          </w:p>
        </w:tc>
      </w:tr>
      <w:tr w:rsidTr="005D37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rPr>
                <w:rStyle w:val="Emphasis"/>
              </w:rPr>
              <w:t>Elements</w:t>
            </w:r>
            <w:r w:rsidRPr="00B56CAB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37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1. Prepare for tour or presentation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t>1.1 Wear appropriate identification and uniform while on duty according to organisation</w:t>
            </w:r>
            <w:r>
              <w:t>’</w:t>
            </w:r>
            <w:r w:rsidRPr="00B56CAB">
              <w:t>s policies and procedures</w:t>
            </w:r>
          </w:p>
          <w:p w:rsidR="00000000" w:rsidRPr="00B56CAB" w:rsidP="00B56CAB">
            <w:pPr>
              <w:pStyle w:val="BodyText"/>
            </w:pPr>
            <w:r w:rsidRPr="00B56CAB">
              <w:t>1.2 Confirm purpose of tour or presentation with supervisor</w:t>
            </w:r>
          </w:p>
          <w:p w:rsidR="00000000" w:rsidRPr="00B56CAB" w:rsidP="00B56CAB">
            <w:pPr>
              <w:pStyle w:val="BodyText"/>
            </w:pPr>
            <w:r w:rsidRPr="00B56CAB">
              <w:t>1.3 Read daily information sheets if provided, and clarify questions with the supe</w:t>
            </w:r>
            <w:r w:rsidRPr="00B56CAB">
              <w:t>rvisor</w:t>
            </w:r>
          </w:p>
          <w:p w:rsidR="00000000" w:rsidRPr="00B56CAB" w:rsidP="00B56CAB">
            <w:pPr>
              <w:pStyle w:val="BodyText"/>
            </w:pPr>
            <w:r w:rsidRPr="00B56CAB">
              <w:t>1.4 Collect materials and equipment for presentation</w:t>
            </w:r>
          </w:p>
          <w:p w:rsidR="00000000" w:rsidRPr="00B56CAB" w:rsidP="00B56CAB">
            <w:pPr>
              <w:pStyle w:val="BodyText"/>
            </w:pPr>
            <w:r w:rsidRPr="00B56CAB">
              <w:t>1.5 Adjust standard tour or presentation to meet specific group needs</w:t>
            </w:r>
          </w:p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1.6 Identify and take action to minimise the risks to self, the public and the animal</w:t>
            </w:r>
          </w:p>
        </w:tc>
      </w:tr>
      <w:tr w:rsidTr="005D37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2. Conduct tour or presentation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t>2.1 Use</w:t>
            </w:r>
            <w:r w:rsidRPr="00B56CAB">
              <w:t xml:space="preserve"> public speaking and presentation skills effectively to engage the audience</w:t>
            </w:r>
          </w:p>
          <w:p w:rsidR="00000000" w:rsidRPr="00B56CAB" w:rsidP="00B56CAB">
            <w:pPr>
              <w:pStyle w:val="BodyText"/>
            </w:pPr>
            <w:r w:rsidRPr="00B56CAB">
              <w:t>2.2 Provide current and accurate information in a format suitable for the group</w:t>
            </w:r>
          </w:p>
          <w:p w:rsidR="00000000" w:rsidRPr="00B56CAB" w:rsidP="00B56CAB">
            <w:pPr>
              <w:pStyle w:val="BodyText"/>
            </w:pPr>
            <w:r w:rsidRPr="00B56CAB">
              <w:t>2.3 Treat and handle animals safely and humanely if used in presentation, according to organisation</w:t>
            </w:r>
            <w:r>
              <w:t>’</w:t>
            </w:r>
            <w:r w:rsidRPr="00B56CAB">
              <w:t>s policies and procedures and WHS requirements</w:t>
            </w:r>
          </w:p>
          <w:p w:rsidR="00000000" w:rsidRPr="00B56CAB" w:rsidP="00B56CAB">
            <w:pPr>
              <w:pStyle w:val="BodyText"/>
            </w:pPr>
            <w:r w:rsidRPr="00B56CAB">
              <w:t>2.4 Encourage audience members to ask questions and participate where appropriate</w:t>
            </w:r>
          </w:p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2.5 Complete the tour or presentation within the required timeframe and in accordance with the needs of the group</w:t>
            </w:r>
          </w:p>
        </w:tc>
      </w:tr>
      <w:tr w:rsidTr="005D37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3. Return an</w:t>
            </w:r>
            <w:r w:rsidRPr="00B56CAB">
              <w:t>imals and resources after the presentation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t>3.1 Return animals to their section if used</w:t>
            </w:r>
          </w:p>
          <w:p w:rsidR="00000000" w:rsidRPr="00B56CAB" w:rsidP="00B56CAB">
            <w:pPr>
              <w:pStyle w:val="BodyText"/>
            </w:pPr>
            <w:r w:rsidRPr="00B56CAB">
              <w:t>3.2 Record the animals</w:t>
            </w:r>
            <w:r>
              <w:t>’</w:t>
            </w:r>
            <w:r w:rsidRPr="00B56CAB">
              <w:t xml:space="preserve"> behaviour and food intake, and report to the supervisor</w:t>
            </w:r>
          </w:p>
          <w:p w:rsidR="00000000" w:rsidRPr="00B56CAB" w:rsidP="00B56CAB">
            <w:pPr>
              <w:pStyle w:val="BodyText"/>
            </w:pPr>
            <w:r w:rsidRPr="00B56CAB">
              <w:t>3.3 Check materials and equipment and return to the appropriate area</w:t>
            </w:r>
          </w:p>
          <w:p w:rsidR="00000000" w:rsidRPr="00B56CAB" w:rsidP="00B56CAB">
            <w:pPr>
              <w:pStyle w:val="BodyText"/>
            </w:pPr>
            <w:r w:rsidRPr="00B56CAB">
              <w:t>3.4 Provide feedback on tour or presentation to the supervisor and according to the organisation</w:t>
            </w:r>
            <w:r>
              <w:t>’</w:t>
            </w:r>
            <w:r w:rsidRPr="00B56CAB">
              <w:t>s policies and procedures</w:t>
            </w:r>
          </w:p>
        </w:tc>
      </w:tr>
    </w:tbl>
    <w:p w:rsidR="00000000" w:rsidRPr="00B56CAB" w:rsidP="00B56CAB">
      <w:pPr>
        <w:pStyle w:val="BodyText"/>
      </w:pPr>
    </w:p>
    <w:p w:rsidR="00000000" w:rsidRPr="00B56CAB" w:rsidP="00B56CAB">
      <w:pPr>
        <w:pStyle w:val="AllowPageBreak"/>
      </w:pPr>
    </w:p>
    <w:p w:rsidR="00000000" w:rsidRPr="00B56CAB" w:rsidP="00B56CAB">
      <w:pPr>
        <w:pStyle w:val="Heading1"/>
      </w:pPr>
      <w:bookmarkStart w:id="6" w:name="O_868152"/>
      <w:bookmarkEnd w:id="6"/>
      <w:r w:rsidRPr="00B56CAB">
        <w:t>Foundation Skills</w:t>
      </w:r>
    </w:p>
    <w:p w:rsidR="00000000" w:rsidRPr="005D379C" w:rsidP="005D379C">
      <w:pPr>
        <w:pStyle w:val="BodyText"/>
        <w:rPr>
          <w:i/>
        </w:rPr>
      </w:pPr>
      <w:r w:rsidRPr="005D379C">
        <w:rPr>
          <w:rStyle w:val="Emphasis"/>
        </w:rPr>
        <w:t>This section describes those language, literacy, numeracy and employment skills that are essenti</w:t>
      </w:r>
      <w:r w:rsidRPr="005D379C">
        <w:rPr>
          <w:rStyle w:val="Emphasis"/>
        </w:rPr>
        <w:t xml:space="preserve">al for </w:t>
      </w:r>
      <w:r w:rsidRPr="005D379C">
        <w:rPr>
          <w:i/>
        </w:rPr>
        <w:t xml:space="preserve">performance in </w:t>
      </w:r>
      <w:r w:rsidRPr="005D379C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B56CA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rPr>
                <w:rStyle w:val="SpecialBold"/>
              </w:rPr>
              <w:t>Description</w:t>
            </w:r>
          </w:p>
        </w:tc>
      </w:tr>
      <w:tr w:rsidTr="00B56CA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ListBullet"/>
              <w:rPr>
                <w:lang w:val="en-NZ"/>
              </w:rPr>
            </w:pPr>
            <w:r w:rsidRPr="00B56CAB">
              <w:t>Interpret and follow facility policies and procedures</w:t>
            </w:r>
          </w:p>
        </w:tc>
      </w:tr>
      <w:tr w:rsidTr="00B56CA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ListBullet"/>
              <w:rPr>
                <w:lang w:val="en-NZ"/>
              </w:rPr>
            </w:pPr>
            <w:r w:rsidRPr="00B56CAB">
              <w:t>Complete routine forms accurately and appropriately</w:t>
            </w:r>
          </w:p>
        </w:tc>
      </w:tr>
      <w:tr w:rsidTr="00B56CA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ListBullet"/>
            </w:pPr>
            <w:r w:rsidRPr="00B56CAB">
              <w:t>Use presentation equipment effectively, problem-solving issues as they arise</w:t>
            </w:r>
          </w:p>
        </w:tc>
      </w:tr>
    </w:tbl>
    <w:p w:rsidR="00000000" w:rsidRPr="00B56CAB" w:rsidP="00B56CAB">
      <w:pPr>
        <w:pStyle w:val="BodyText"/>
      </w:pPr>
    </w:p>
    <w:p w:rsidR="00000000" w:rsidRPr="00B56CAB" w:rsidP="00B56CAB">
      <w:pPr>
        <w:pStyle w:val="AllowPageBreak"/>
      </w:pPr>
    </w:p>
    <w:p w:rsidR="00000000" w:rsidRPr="00B56CAB" w:rsidP="00B56CAB">
      <w:pPr>
        <w:pStyle w:val="Heading1"/>
      </w:pPr>
      <w:bookmarkStart w:id="7" w:name="O_868154"/>
      <w:bookmarkEnd w:id="7"/>
      <w:r w:rsidRPr="00B56CAB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B56CA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rPr>
                <w:rStyle w:val="SpecialBold"/>
              </w:rPr>
              <w:t>Equivalence status</w:t>
            </w:r>
          </w:p>
        </w:tc>
      </w:tr>
      <w:tr w:rsidTr="00B56CA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ACMGAS210 Prepare for and conduct a tour or presentation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ACMGAS210A Prepare for and conduct a tour or presentation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AB">
            <w:pPr>
              <w:pStyle w:val="BodyText"/>
              <w:rPr>
                <w:lang w:val="en-NZ"/>
              </w:rPr>
            </w:pPr>
            <w:r w:rsidRPr="00B56CAB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AB" w:rsidP="00B56CAB">
            <w:pPr>
              <w:pStyle w:val="BodyText"/>
            </w:pPr>
            <w:r w:rsidRPr="00B56CAB">
              <w:t xml:space="preserve">Equivalent unit </w:t>
            </w:r>
          </w:p>
          <w:p w:rsidR="00000000" w:rsidRPr="00B56CAB" w:rsidP="00B56CAB">
            <w:pPr>
              <w:pStyle w:val="BodyText"/>
            </w:pPr>
          </w:p>
        </w:tc>
      </w:tr>
    </w:tbl>
    <w:p w:rsidR="00000000" w:rsidRPr="00B56CAB" w:rsidP="00B56CAB">
      <w:pPr>
        <w:pStyle w:val="BodyText"/>
      </w:pPr>
    </w:p>
    <w:p w:rsidR="00000000" w:rsidRPr="00B56CAB" w:rsidP="00B56CAB">
      <w:pPr>
        <w:pStyle w:val="AllowPageBreak"/>
      </w:pPr>
    </w:p>
    <w:p w:rsidR="00000000" w:rsidRPr="00B56CAB" w:rsidP="00B56CAB">
      <w:pPr>
        <w:pStyle w:val="Heading1"/>
      </w:pPr>
      <w:bookmarkStart w:id="8" w:name="O_868161"/>
      <w:bookmarkEnd w:id="8"/>
      <w:r w:rsidRPr="00B56CAB">
        <w:t>Links</w:t>
      </w:r>
    </w:p>
    <w:p w:rsidR="00000000" w:rsidRPr="00B56CAB" w:rsidP="005D379C">
      <w:pPr>
        <w:pStyle w:val="BodyText"/>
      </w:pPr>
      <w:r w:rsidRPr="00B56CAB">
        <w:t>Companion Volumes, including Implementation Guides</w:t>
      </w:r>
      <w:r w:rsidRPr="00B56CAB">
        <w:t xml:space="preserve">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30E3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6CAB" w:rsidP="00B56CAB"/>
    <w:sectPr w:rsidSect="00B56C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AB" w:rsidRPr="005D379C" w:rsidP="005D3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9C" w:rsidP="00B56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79C" w:rsidP="00B56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379C" w:rsidP="00B56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CAB" w:rsidRPr="005D379C" w:rsidP="005D3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9C" w:rsidRPr="002D2AF8" w:rsidP="00B56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ACMGAS210 Prepare for and conduct a tour or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D379C" w:rsidP="00B56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78C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C80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CAB"/>
  </w:style>
  <w:style w:type="character" w:customStyle="1" w:styleId="Heading1Char">
    <w:name w:val="Heading 1 Char"/>
    <w:basedOn w:val="DefaultParagraphFont"/>
    <w:link w:val="Heading1"/>
    <w:rsid w:val="00B56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C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C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CAB"/>
    <w:rPr>
      <w:b/>
      <w:spacing w:val="0"/>
    </w:rPr>
  </w:style>
  <w:style w:type="character" w:styleId="Emphasis">
    <w:name w:val="Emphasis"/>
    <w:basedOn w:val="DefaultParagraphFont"/>
    <w:qFormat/>
    <w:rsid w:val="00B56CAB"/>
    <w:rPr>
      <w:i/>
    </w:rPr>
  </w:style>
  <w:style w:type="paragraph" w:customStyle="1" w:styleId="SuperHeading">
    <w:name w:val="SuperHeading"/>
    <w:basedOn w:val="Normal"/>
    <w:rsid w:val="00B56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C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C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C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C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CAB"/>
  </w:style>
  <w:style w:type="paragraph" w:styleId="TableofFigures">
    <w:name w:val="table of figures"/>
    <w:basedOn w:val="Normal"/>
    <w:next w:val="Normal"/>
    <w:semiHidden/>
    <w:rsid w:val="00B56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C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CAB"/>
    <w:rPr>
      <w:rFonts w:ascii="Wingdings" w:hAnsi="Wingdings"/>
    </w:rPr>
  </w:style>
  <w:style w:type="paragraph" w:customStyle="1" w:styleId="TableHeading">
    <w:name w:val="Table Heading"/>
    <w:basedOn w:val="HeadingBase"/>
    <w:rsid w:val="00B56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CAB"/>
    <w:rPr>
      <w:color w:val="0033CC"/>
      <w:u w:val="none"/>
    </w:rPr>
  </w:style>
  <w:style w:type="paragraph" w:customStyle="1" w:styleId="BodyTextRight">
    <w:name w:val="Body Text Right"/>
    <w:basedOn w:val="BodyText"/>
    <w:rsid w:val="00B56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C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CAB"/>
    <w:rPr>
      <w:sz w:val="32"/>
    </w:rPr>
  </w:style>
  <w:style w:type="paragraph" w:customStyle="1" w:styleId="HeadingProcedure">
    <w:name w:val="Heading Procedure"/>
    <w:basedOn w:val="HeadingBase"/>
    <w:next w:val="Normal"/>
    <w:rsid w:val="00B56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CAB"/>
    <w:pPr>
      <w:spacing w:before="60" w:after="60"/>
    </w:pPr>
  </w:style>
  <w:style w:type="paragraph" w:styleId="ListContinue">
    <w:name w:val="List Continue"/>
    <w:basedOn w:val="List"/>
    <w:rsid w:val="00B56CAB"/>
    <w:pPr>
      <w:ind w:firstLine="0"/>
    </w:pPr>
  </w:style>
  <w:style w:type="paragraph" w:customStyle="1" w:styleId="ListNote">
    <w:name w:val="List Note"/>
    <w:basedOn w:val="List"/>
    <w:rsid w:val="00B56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CAB"/>
    <w:rPr>
      <w:rFonts w:ascii="Courier New" w:hAnsi="Courier New"/>
    </w:rPr>
  </w:style>
  <w:style w:type="paragraph" w:customStyle="1" w:styleId="NoteBullet">
    <w:name w:val="Note Bullet"/>
    <w:basedOn w:val="Note"/>
    <w:rsid w:val="00B56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C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CAB"/>
    <w:rPr>
      <w:b/>
      <w:smallCaps/>
    </w:rPr>
  </w:style>
  <w:style w:type="paragraph" w:customStyle="1" w:styleId="TableListNumber">
    <w:name w:val="Table List Number"/>
    <w:basedOn w:val="ListNumber"/>
    <w:rsid w:val="00B56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CAB"/>
    <w:pPr>
      <w:numPr>
        <w:numId w:val="8"/>
      </w:numPr>
    </w:pPr>
  </w:style>
  <w:style w:type="paragraph" w:customStyle="1" w:styleId="ListAlpha2">
    <w:name w:val="List Alpha 2"/>
    <w:basedOn w:val="List2"/>
    <w:rsid w:val="00B56CAB"/>
    <w:pPr>
      <w:numPr>
        <w:numId w:val="7"/>
      </w:numPr>
    </w:pPr>
  </w:style>
  <w:style w:type="paragraph" w:styleId="List2">
    <w:name w:val="List 2"/>
    <w:basedOn w:val="BodyText"/>
    <w:rsid w:val="00B56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C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C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CAB"/>
    <w:pPr>
      <w:numPr>
        <w:numId w:val="3"/>
      </w:numPr>
    </w:pPr>
  </w:style>
  <w:style w:type="paragraph" w:styleId="ListContinue2">
    <w:name w:val="List Continue 2"/>
    <w:basedOn w:val="List2"/>
    <w:rsid w:val="00B56CAB"/>
    <w:pPr>
      <w:ind w:firstLine="0"/>
    </w:pPr>
  </w:style>
  <w:style w:type="paragraph" w:styleId="ListContinue3">
    <w:name w:val="List Continue 3"/>
    <w:basedOn w:val="List3"/>
    <w:rsid w:val="00B56CAB"/>
    <w:pPr>
      <w:ind w:left="1021" w:firstLine="0"/>
    </w:pPr>
  </w:style>
  <w:style w:type="paragraph" w:styleId="ListContinue4">
    <w:name w:val="List Continue 4"/>
    <w:basedOn w:val="List4"/>
    <w:rsid w:val="00B56CAB"/>
    <w:pPr>
      <w:ind w:firstLine="0"/>
    </w:pPr>
  </w:style>
  <w:style w:type="paragraph" w:styleId="ListContinue5">
    <w:name w:val="List Continue 5"/>
    <w:basedOn w:val="List5"/>
    <w:rsid w:val="00B56CAB"/>
    <w:pPr>
      <w:ind w:firstLine="0"/>
    </w:pPr>
  </w:style>
  <w:style w:type="paragraph" w:styleId="ListNumber3">
    <w:name w:val="List Number 3"/>
    <w:basedOn w:val="List3"/>
    <w:rsid w:val="00B56CAB"/>
    <w:pPr>
      <w:numPr>
        <w:numId w:val="4"/>
      </w:numPr>
    </w:pPr>
  </w:style>
  <w:style w:type="paragraph" w:styleId="ListNumber4">
    <w:name w:val="List Number 4"/>
    <w:basedOn w:val="List4"/>
    <w:rsid w:val="00B56CAB"/>
    <w:pPr>
      <w:numPr>
        <w:numId w:val="5"/>
      </w:numPr>
    </w:pPr>
  </w:style>
  <w:style w:type="paragraph" w:styleId="ListNumber5">
    <w:name w:val="List Number 5"/>
    <w:basedOn w:val="List5"/>
    <w:rsid w:val="00B56CAB"/>
    <w:pPr>
      <w:numPr>
        <w:numId w:val="6"/>
      </w:numPr>
    </w:pPr>
  </w:style>
  <w:style w:type="paragraph" w:styleId="BlockText">
    <w:name w:val="Block Text"/>
    <w:basedOn w:val="Normal"/>
    <w:rsid w:val="00B56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CAB"/>
    <w:rPr>
      <w:sz w:val="16"/>
      <w:vertAlign w:val="superscript"/>
    </w:rPr>
  </w:style>
  <w:style w:type="character" w:customStyle="1" w:styleId="Symbols">
    <w:name w:val="Symbols"/>
    <w:basedOn w:val="DefaultParagraphFont"/>
    <w:rsid w:val="00B56CAB"/>
    <w:rPr>
      <w:rFonts w:ascii="Symbol" w:hAnsi="Symbol"/>
    </w:rPr>
  </w:style>
  <w:style w:type="character" w:customStyle="1" w:styleId="MenuOptions">
    <w:name w:val="Menu Options"/>
    <w:basedOn w:val="DefaultParagraphFont"/>
    <w:rsid w:val="00B56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CAB"/>
    <w:rPr>
      <w:b/>
    </w:rPr>
  </w:style>
  <w:style w:type="character" w:customStyle="1" w:styleId="Underlined">
    <w:name w:val="Underlined"/>
    <w:basedOn w:val="DefaultParagraphFont"/>
    <w:rsid w:val="00B56CAB"/>
    <w:rPr>
      <w:u w:val="single"/>
    </w:rPr>
  </w:style>
  <w:style w:type="paragraph" w:customStyle="1" w:styleId="TableBodyTextRight">
    <w:name w:val="Table Body Text Right"/>
    <w:basedOn w:val="TableBodyText"/>
    <w:rsid w:val="00B56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CAB"/>
    <w:rPr>
      <w:sz w:val="18"/>
    </w:rPr>
  </w:style>
  <w:style w:type="paragraph" w:customStyle="1" w:styleId="BodySmallRight">
    <w:name w:val="Body Small Right"/>
    <w:basedOn w:val="BodyTextRight"/>
    <w:rsid w:val="00B56CAB"/>
    <w:rPr>
      <w:sz w:val="18"/>
      <w:szCs w:val="18"/>
    </w:rPr>
  </w:style>
  <w:style w:type="paragraph" w:customStyle="1" w:styleId="MarginEdition">
    <w:name w:val="Margin Edition"/>
    <w:basedOn w:val="MarginNote"/>
    <w:rsid w:val="00B56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CAB"/>
    <w:rPr>
      <w:sz w:val="2"/>
      <w:szCs w:val="2"/>
    </w:rPr>
  </w:style>
  <w:style w:type="character" w:customStyle="1" w:styleId="Small">
    <w:name w:val="Small"/>
    <w:basedOn w:val="DefaultParagraphFont"/>
    <w:rsid w:val="00B56CAB"/>
    <w:rPr>
      <w:sz w:val="16"/>
    </w:rPr>
  </w:style>
  <w:style w:type="paragraph" w:customStyle="1" w:styleId="WideTable">
    <w:name w:val="Wide Table"/>
    <w:basedOn w:val="Normal"/>
    <w:rsid w:val="00B56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CAB"/>
  </w:style>
  <w:style w:type="paragraph" w:styleId="Quote">
    <w:name w:val="Quote"/>
    <w:basedOn w:val="Heading1"/>
    <w:link w:val="QuoteChar"/>
    <w:qFormat/>
    <w:rsid w:val="00B56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CAB"/>
    <w:pPr>
      <w:pageBreakBefore/>
    </w:pPr>
  </w:style>
  <w:style w:type="paragraph" w:customStyle="1" w:styleId="Border">
    <w:name w:val="Border"/>
    <w:basedOn w:val="Normal"/>
    <w:qFormat/>
    <w:rsid w:val="00B56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CAB"/>
    <w:rPr>
      <w:u w:val="single"/>
    </w:rPr>
  </w:style>
  <w:style w:type="character" w:customStyle="1" w:styleId="BoldandItalics">
    <w:name w:val="Bold and Italics"/>
    <w:qFormat/>
    <w:rsid w:val="00B56CAB"/>
    <w:rPr>
      <w:b/>
      <w:i/>
      <w:u w:val="none"/>
    </w:rPr>
  </w:style>
  <w:style w:type="paragraph" w:styleId="BalloonText">
    <w:name w:val="Balloon Text"/>
    <w:basedOn w:val="Normal"/>
    <w:link w:val="BalloonTextChar"/>
    <w:rsid w:val="00B56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CAB"/>
    <w:pPr>
      <w:spacing w:before="0" w:after="0"/>
    </w:pPr>
  </w:style>
  <w:style w:type="paragraph" w:customStyle="1" w:styleId="BodyTextBold">
    <w:name w:val="Body Text Bold"/>
    <w:basedOn w:val="BodyText"/>
    <w:qFormat/>
    <w:rsid w:val="00B56CAB"/>
    <w:rPr>
      <w:b/>
    </w:rPr>
  </w:style>
  <w:style w:type="character" w:styleId="Hyperlink">
    <w:name w:val="Hyperlink"/>
    <w:basedOn w:val="DefaultParagraphFont"/>
    <w:uiPriority w:val="99"/>
    <w:unhideWhenUsed/>
    <w:rsid w:val="005D3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3572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ACMGAS210 Prepare for and conduct a tour or presentation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