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2D8C" w:rsidP="00582D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ACMFAR401 Apply knowledge of equine musculoskeletal system, biomechanics and pathology for effective hoof care</w:t>
      </w:r>
      <w:r>
        <w:fldChar w:fldCharType="end"/>
      </w:r>
    </w:p>
    <w:p w:rsidR="00582D8C" w:rsidP="00582D8C">
      <w:pPr>
        <w:pStyle w:val="Version"/>
        <w:sectPr w:rsidSect="00C704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0466" w:rsidP="00C70466">
      <w:pPr>
        <w:pStyle w:val="SuperHeading"/>
      </w:pPr>
      <w:r w:rsidRPr="00C70466">
        <w:t>Assessment Requirements for ACMFAR401 Apply knowledge of equine musculoskeletal system, biomechanics and pathology for effective hoof care</w:t>
      </w:r>
    </w:p>
    <w:p w:rsidR="00000000" w:rsidRPr="00C70466" w:rsidP="00C70466">
      <w:pPr>
        <w:pStyle w:val="Heading1"/>
      </w:pPr>
      <w:bookmarkStart w:id="1" w:name="O_991598"/>
      <w:bookmarkEnd w:id="1"/>
      <w:r w:rsidRPr="00C704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0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466" w:rsidP="00C70466">
            <w:pPr>
              <w:pStyle w:val="BodyText"/>
            </w:pPr>
            <w:r w:rsidRPr="00C7046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466">
            <w:pPr>
              <w:pStyle w:val="BodyText"/>
              <w:rPr>
                <w:lang w:val="en-NZ"/>
              </w:rPr>
            </w:pPr>
            <w:r w:rsidRPr="00C70466">
              <w:rPr>
                <w:rStyle w:val="SpecialBold"/>
              </w:rPr>
              <w:t>Comments</w:t>
            </w:r>
          </w:p>
        </w:tc>
      </w:tr>
      <w:tr w:rsidTr="00C704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466">
            <w:pPr>
              <w:pStyle w:val="BodyText"/>
              <w:rPr>
                <w:lang w:val="en-NZ"/>
              </w:rPr>
            </w:pPr>
            <w:r w:rsidRPr="00C704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466" w:rsidP="00C70466">
            <w:pPr>
              <w:pStyle w:val="BodyText"/>
            </w:pPr>
            <w:r w:rsidRPr="00C70466">
              <w:t>This version released with ACM Animal Care and Management Training Package Version 2.0.</w:t>
            </w:r>
          </w:p>
        </w:tc>
      </w:tr>
    </w:tbl>
    <w:p w:rsidR="00000000" w:rsidRPr="00C70466" w:rsidP="00C70466">
      <w:pPr>
        <w:pStyle w:val="BodyText"/>
      </w:pPr>
    </w:p>
    <w:p w:rsidR="00000000" w:rsidRPr="00C70466" w:rsidP="00C70466">
      <w:pPr>
        <w:pStyle w:val="AllowPageBreak"/>
      </w:pPr>
    </w:p>
    <w:p w:rsidR="00000000" w:rsidRPr="00C70466" w:rsidP="00C70466">
      <w:pPr>
        <w:pStyle w:val="Heading1"/>
      </w:pPr>
      <w:bookmarkStart w:id="2" w:name="O_991599"/>
      <w:bookmarkEnd w:id="2"/>
      <w:r w:rsidRPr="00C70466">
        <w:t>Performance Evidence</w:t>
      </w:r>
    </w:p>
    <w:p w:rsidR="00000000" w:rsidRPr="00C70466" w:rsidP="00582D8C">
      <w:pPr>
        <w:pStyle w:val="BodyText"/>
      </w:pPr>
      <w:r w:rsidRPr="00C70466">
        <w:t>An individual demonstrating competency must satisfy all of the elements and performance criteria in this unit. There must be evi</w:t>
      </w:r>
      <w:r w:rsidRPr="00C70466">
        <w:t>dence that the individual has:</w:t>
      </w:r>
    </w:p>
    <w:p w:rsidR="00000000" w:rsidRPr="00C70466" w:rsidP="00C70466">
      <w:pPr>
        <w:pStyle w:val="ListBullet"/>
      </w:pPr>
      <w:r w:rsidRPr="00C70466">
        <w:t>accurately identified key anatomical features (normal and abormal) of the equine distal limb and hoof capsule on:</w:t>
      </w:r>
    </w:p>
    <w:p w:rsidR="00000000" w:rsidRPr="00C70466" w:rsidP="00C70466">
      <w:pPr>
        <w:pStyle w:val="ListBullet2"/>
      </w:pPr>
      <w:r w:rsidRPr="00C70466">
        <w:t>a live equine</w:t>
      </w:r>
    </w:p>
    <w:p w:rsidR="00000000" w:rsidRPr="00C70466" w:rsidP="00C70466">
      <w:pPr>
        <w:pStyle w:val="ListBullet2"/>
      </w:pPr>
      <w:r w:rsidRPr="00C70466">
        <w:t>a cadaver leg</w:t>
      </w:r>
    </w:p>
    <w:p w:rsidR="00000000" w:rsidRPr="00C70466" w:rsidP="00C70466">
      <w:pPr>
        <w:pStyle w:val="ListBullet2"/>
      </w:pPr>
      <w:r w:rsidRPr="00C70466">
        <w:t xml:space="preserve">a radiograph </w:t>
      </w:r>
    </w:p>
    <w:p w:rsidR="00000000" w:rsidRPr="00C70466" w:rsidP="00C70466">
      <w:pPr>
        <w:pStyle w:val="ListBullet"/>
      </w:pPr>
      <w:r w:rsidRPr="00C70466">
        <w:t>determined possible causes of common pathologies relating to young, mature, old, shod and unshod/barefoot equines by analysing:</w:t>
      </w:r>
    </w:p>
    <w:p w:rsidR="00000000" w:rsidRPr="00C70466" w:rsidP="00C70466">
      <w:pPr>
        <w:pStyle w:val="ListBullet2"/>
      </w:pPr>
      <w:r w:rsidRPr="00C70466">
        <w:t xml:space="preserve">the movement and examining/palpating the limbs of at least three live equines </w:t>
      </w:r>
    </w:p>
    <w:p w:rsidR="00000000" w:rsidRPr="00C70466" w:rsidP="00C70466">
      <w:pPr>
        <w:pStyle w:val="ListBullet2"/>
      </w:pPr>
      <w:r w:rsidRPr="00C70466">
        <w:t>at least three realistic case studies addressing</w:t>
      </w:r>
      <w:r w:rsidRPr="00C70466">
        <w:t xml:space="preserve"> common equine pathologies not covered by the range of live equines in the point above</w:t>
      </w:r>
    </w:p>
    <w:p w:rsidR="00000000" w:rsidRPr="00C70466" w:rsidP="00C70466">
      <w:pPr>
        <w:pStyle w:val="ListBullet"/>
      </w:pPr>
      <w:r w:rsidRPr="00C70466">
        <w:t>explained musculoskeletal structures, conformation and features, both normal and abnormal, to others using accurate anatomical and industry terminology.</w:t>
      </w:r>
    </w:p>
    <w:p w:rsidR="00000000" w:rsidRPr="00C70466" w:rsidP="00C70466">
      <w:pPr>
        <w:pStyle w:val="AllowPageBreak"/>
      </w:pPr>
    </w:p>
    <w:p w:rsidR="00000000" w:rsidRPr="00C70466" w:rsidP="00C70466">
      <w:pPr>
        <w:pStyle w:val="Heading1"/>
      </w:pPr>
      <w:bookmarkStart w:id="3" w:name="O_991600"/>
      <w:bookmarkEnd w:id="3"/>
      <w:r w:rsidRPr="00C70466">
        <w:t>Knowledge Evidence</w:t>
      </w:r>
    </w:p>
    <w:p w:rsidR="00000000" w:rsidRPr="00C70466" w:rsidP="00582D8C">
      <w:pPr>
        <w:pStyle w:val="BodyText"/>
      </w:pPr>
      <w:r w:rsidRPr="00C70466">
        <w:t>An individual must be able to demonstrate the knowledge required to perform the tasks outlined in the elements and performance criteria of this unit. This includes knowledge of:</w:t>
      </w:r>
    </w:p>
    <w:p w:rsidR="00000000" w:rsidRPr="00C70466" w:rsidP="00C70466">
      <w:pPr>
        <w:pStyle w:val="ListBullet"/>
      </w:pPr>
      <w:r w:rsidRPr="00C70466">
        <w:t>overview of equine anatomy and musculoskeletal structure</w:t>
      </w:r>
      <w:r w:rsidRPr="00C70466">
        <w:t>s, including:</w:t>
      </w:r>
    </w:p>
    <w:p w:rsidR="00000000" w:rsidRPr="00C70466" w:rsidP="00C70466">
      <w:pPr>
        <w:pStyle w:val="ListBullet2"/>
      </w:pPr>
      <w:r w:rsidRPr="00C70466">
        <w:t>key features, actions, location and orientation of the musculoskeletal system including thoracic and pelvic limbs</w:t>
      </w:r>
    </w:p>
    <w:p w:rsidR="00000000" w:rsidRPr="00C70466" w:rsidP="00C70466">
      <w:pPr>
        <w:pStyle w:val="ListBullet2"/>
      </w:pPr>
      <w:r w:rsidRPr="00C70466">
        <w:t>changes in equine musculoskeletal structure related to age, growth, performance, ailments and injury</w:t>
      </w:r>
    </w:p>
    <w:p w:rsidR="00000000" w:rsidRPr="00C70466" w:rsidP="00C70466">
      <w:pPr>
        <w:pStyle w:val="ListBullet2"/>
      </w:pPr>
      <w:r w:rsidRPr="00C70466">
        <w:t>major blood vessels, circu</w:t>
      </w:r>
      <w:r w:rsidRPr="00C70466">
        <w:t>lation, nerves and lymphatic system relevant to the distal limb</w:t>
      </w:r>
    </w:p>
    <w:p w:rsidR="00000000" w:rsidRPr="00C70466" w:rsidP="00C70466">
      <w:pPr>
        <w:pStyle w:val="ListBullet"/>
      </w:pPr>
      <w:r w:rsidRPr="00C70466">
        <w:t xml:space="preserve">structure, function, actions, names and location of equine distal limb bones, joints, ligaments and tendons </w:t>
      </w:r>
    </w:p>
    <w:p w:rsidR="00000000" w:rsidRPr="00C70466" w:rsidP="00C70466">
      <w:pPr>
        <w:pStyle w:val="ListBullet"/>
      </w:pPr>
      <w:r w:rsidRPr="00C70466">
        <w:t>basic principles of equine movement and biomechanics of the limbs and hoof to enable movement and passive stance</w:t>
      </w:r>
    </w:p>
    <w:p w:rsidR="00000000" w:rsidRPr="00C70466" w:rsidP="00C70466">
      <w:pPr>
        <w:pStyle w:val="ListBullet"/>
      </w:pPr>
      <w:r w:rsidRPr="00C70466">
        <w:t>conformational characteristics that may impact on equine musculoskeletal structure stability, including:</w:t>
      </w:r>
    </w:p>
    <w:p w:rsidR="00000000" w:rsidRPr="00C70466" w:rsidP="00C70466">
      <w:pPr>
        <w:pStyle w:val="ListBullet2"/>
      </w:pPr>
      <w:r w:rsidRPr="00C70466">
        <w:t>correct conformation of common breeds</w:t>
      </w:r>
      <w:r w:rsidRPr="00C70466">
        <w:t>, according to breed standards, and how to access information on less common breeds</w:t>
      </w:r>
    </w:p>
    <w:p w:rsidR="00000000" w:rsidRPr="00C70466" w:rsidP="00C70466">
      <w:pPr>
        <w:pStyle w:val="ListBullet2"/>
      </w:pPr>
      <w:r w:rsidRPr="00C70466">
        <w:t>desirable and undesirable conformation features</w:t>
      </w:r>
    </w:p>
    <w:p w:rsidR="00000000" w:rsidRPr="00C70466" w:rsidP="00C70466">
      <w:pPr>
        <w:pStyle w:val="ListBullet2"/>
      </w:pPr>
      <w:r w:rsidRPr="00C70466">
        <w:t xml:space="preserve">congential and acquired conformation faults </w:t>
      </w:r>
    </w:p>
    <w:p w:rsidR="00000000" w:rsidRPr="00C70466" w:rsidP="00C70466">
      <w:pPr>
        <w:pStyle w:val="ListBullet2"/>
      </w:pPr>
      <w:r w:rsidRPr="00C70466">
        <w:t xml:space="preserve">effect of common comformation faults on equine action and hoof </w:t>
      </w:r>
    </w:p>
    <w:p w:rsidR="00000000" w:rsidRPr="00C70466" w:rsidP="00C70466">
      <w:pPr>
        <w:pStyle w:val="ListBullet2"/>
      </w:pPr>
      <w:r w:rsidRPr="00C70466">
        <w:t>principles of s</w:t>
      </w:r>
      <w:r w:rsidRPr="00C70466">
        <w:t>tatic and dynamic foot balance</w:t>
      </w:r>
    </w:p>
    <w:p w:rsidR="00000000" w:rsidRPr="00C70466" w:rsidP="00C70466">
      <w:pPr>
        <w:pStyle w:val="ListBullet"/>
      </w:pPr>
      <w:r w:rsidRPr="00C70466">
        <w:t>key features and functions of all parts of the equine limb and hoof capsule, including:</w:t>
      </w:r>
    </w:p>
    <w:p w:rsidR="00000000" w:rsidRPr="00C70466" w:rsidP="00C70466">
      <w:pPr>
        <w:pStyle w:val="ListBullet2"/>
      </w:pPr>
      <w:r w:rsidRPr="00C70466">
        <w:t>dorsal wall</w:t>
      </w:r>
    </w:p>
    <w:p w:rsidR="00000000" w:rsidRPr="00C70466" w:rsidP="00C70466">
      <w:pPr>
        <w:pStyle w:val="ListBullet2"/>
      </w:pPr>
      <w:r w:rsidRPr="00C70466">
        <w:t>medial and lateral wall</w:t>
      </w:r>
    </w:p>
    <w:p w:rsidR="00000000" w:rsidRPr="00C70466" w:rsidP="00C70466">
      <w:pPr>
        <w:pStyle w:val="ListBullet2"/>
      </w:pPr>
      <w:r w:rsidRPr="00C70466">
        <w:t>heels and buttresses</w:t>
      </w:r>
    </w:p>
    <w:p w:rsidR="00000000" w:rsidRPr="00C70466" w:rsidP="00C70466">
      <w:pPr>
        <w:pStyle w:val="ListBullet2"/>
      </w:pPr>
      <w:r w:rsidRPr="00C70466">
        <w:t>bulbs of foot</w:t>
      </w:r>
    </w:p>
    <w:p w:rsidR="00000000" w:rsidRPr="00C70466" w:rsidP="00C70466">
      <w:pPr>
        <w:pStyle w:val="ListBullet2"/>
      </w:pPr>
      <w:r w:rsidRPr="00C70466">
        <w:t xml:space="preserve">sole </w:t>
      </w:r>
    </w:p>
    <w:p w:rsidR="00000000" w:rsidRPr="00C70466" w:rsidP="00C70466">
      <w:pPr>
        <w:pStyle w:val="ListBullet2"/>
      </w:pPr>
      <w:r w:rsidRPr="00C70466">
        <w:t>white line</w:t>
      </w:r>
    </w:p>
    <w:p w:rsidR="00000000" w:rsidRPr="00C70466" w:rsidP="00C70466">
      <w:pPr>
        <w:pStyle w:val="ListBullet2"/>
      </w:pPr>
      <w:r w:rsidRPr="00C70466">
        <w:t>bars</w:t>
      </w:r>
    </w:p>
    <w:p w:rsidR="00000000" w:rsidRPr="00C70466" w:rsidP="00C70466">
      <w:pPr>
        <w:pStyle w:val="ListBullet2"/>
      </w:pPr>
      <w:r w:rsidRPr="00C70466">
        <w:t>frog</w:t>
      </w:r>
    </w:p>
    <w:p w:rsidR="00000000" w:rsidRPr="00C70466" w:rsidP="00C70466">
      <w:pPr>
        <w:pStyle w:val="ListBullet2"/>
      </w:pPr>
      <w:r w:rsidRPr="00C70466">
        <w:t xml:space="preserve">susepensory apparatus of the distal phalanx </w:t>
      </w:r>
    </w:p>
    <w:p w:rsidR="00000000" w:rsidRPr="00C70466" w:rsidP="00C70466">
      <w:pPr>
        <w:pStyle w:val="ListBullet2"/>
      </w:pPr>
      <w:r w:rsidRPr="00C70466">
        <w:t>periople and perioplic corium</w:t>
      </w:r>
    </w:p>
    <w:p w:rsidR="00000000" w:rsidRPr="00C70466" w:rsidP="00C70466">
      <w:pPr>
        <w:pStyle w:val="ListBullet2"/>
      </w:pPr>
      <w:r w:rsidRPr="00C70466">
        <w:t>laminae and laminar corium</w:t>
      </w:r>
    </w:p>
    <w:p w:rsidR="00000000" w:rsidRPr="00C70466" w:rsidP="00C70466">
      <w:pPr>
        <w:pStyle w:val="ListBullet2"/>
      </w:pPr>
      <w:r w:rsidRPr="00C70466">
        <w:t>coronary corium</w:t>
      </w:r>
    </w:p>
    <w:p w:rsidR="00000000" w:rsidRPr="00C70466" w:rsidP="00C70466">
      <w:pPr>
        <w:pStyle w:val="ListBullet2"/>
      </w:pPr>
      <w:r w:rsidRPr="00C70466">
        <w:t>corium of sole</w:t>
      </w:r>
    </w:p>
    <w:p w:rsidR="00000000" w:rsidRPr="00C70466" w:rsidP="00C70466">
      <w:pPr>
        <w:pStyle w:val="ListBullet2"/>
      </w:pPr>
      <w:r w:rsidRPr="00C70466">
        <w:t>corium of frog</w:t>
      </w:r>
    </w:p>
    <w:p w:rsidR="00000000" w:rsidRPr="00C70466" w:rsidP="00C70466">
      <w:pPr>
        <w:pStyle w:val="ListBullet2"/>
      </w:pPr>
      <w:r w:rsidRPr="00C70466">
        <w:t>corrium of bars</w:t>
      </w:r>
    </w:p>
    <w:p w:rsidR="00000000" w:rsidRPr="00C70466" w:rsidP="00C70466">
      <w:pPr>
        <w:pStyle w:val="ListBullet2"/>
      </w:pPr>
      <w:r w:rsidRPr="00C70466">
        <w:t>digital cushion</w:t>
      </w:r>
    </w:p>
    <w:p w:rsidR="00000000" w:rsidRPr="00C70466" w:rsidP="00C70466">
      <w:pPr>
        <w:pStyle w:val="ListBullet2"/>
      </w:pPr>
      <w:r w:rsidRPr="00C70466">
        <w:t>distal phalanx cartilages</w:t>
      </w:r>
    </w:p>
    <w:p w:rsidR="00000000" w:rsidRPr="00C70466" w:rsidP="00C70466">
      <w:pPr>
        <w:pStyle w:val="ListBullet2"/>
      </w:pPr>
      <w:r w:rsidRPr="00C70466">
        <w:t>joints - hock, knee, fetlock, pastern, pedal</w:t>
      </w:r>
    </w:p>
    <w:p w:rsidR="00000000" w:rsidRPr="00C70466" w:rsidP="00C70466">
      <w:pPr>
        <w:pStyle w:val="ListBullet2"/>
      </w:pPr>
      <w:r w:rsidRPr="00C70466">
        <w:t>bones</w:t>
      </w:r>
      <w:r w:rsidRPr="00C70466">
        <w:t xml:space="preserve"> - navicular bone and surrounding structures, pedal bone, long and short pastern, carpus and tarsus, metacarpals and metatarsals</w:t>
      </w:r>
    </w:p>
    <w:p w:rsidR="00000000" w:rsidRPr="00C70466" w:rsidP="00C70466">
      <w:pPr>
        <w:pStyle w:val="ListBullet2"/>
      </w:pPr>
      <w:r w:rsidRPr="00C70466">
        <w:t>tendons, their insertion and position</w:t>
      </w:r>
    </w:p>
    <w:p w:rsidR="00000000" w:rsidRPr="00C70466" w:rsidP="00C70466">
      <w:pPr>
        <w:pStyle w:val="ListBullet2"/>
      </w:pPr>
      <w:r w:rsidRPr="00C70466">
        <w:t>muscles and points of origin and insertion</w:t>
      </w:r>
    </w:p>
    <w:p w:rsidR="00000000" w:rsidRPr="00C70466" w:rsidP="00C70466">
      <w:pPr>
        <w:pStyle w:val="ListBullet2"/>
      </w:pPr>
      <w:r w:rsidRPr="00C70466">
        <w:t>blood supply of the distal limb</w:t>
      </w:r>
    </w:p>
    <w:p w:rsidR="00000000" w:rsidRPr="00C70466" w:rsidP="00C70466">
      <w:pPr>
        <w:pStyle w:val="ListBullet2"/>
      </w:pPr>
      <w:r w:rsidRPr="00C70466">
        <w:t>nerve supply o</w:t>
      </w:r>
      <w:r w:rsidRPr="00C70466">
        <w:t>f the distal limb</w:t>
      </w:r>
    </w:p>
    <w:p w:rsidR="00000000" w:rsidRPr="00C70466" w:rsidP="00C70466">
      <w:pPr>
        <w:pStyle w:val="ListBullet2"/>
      </w:pPr>
      <w:r w:rsidRPr="00C70466">
        <w:t>ligaments of the distal limb</w:t>
      </w:r>
    </w:p>
    <w:p w:rsidR="00000000" w:rsidRPr="00C70466" w:rsidP="00C70466">
      <w:pPr>
        <w:pStyle w:val="ListBullet2"/>
      </w:pPr>
      <w:r w:rsidRPr="00C70466">
        <w:t>all palpable structures of the distal limb</w:t>
      </w:r>
    </w:p>
    <w:p w:rsidR="00000000" w:rsidRPr="00C70466" w:rsidP="00C70466">
      <w:pPr>
        <w:pStyle w:val="ListBullet2"/>
      </w:pPr>
      <w:r w:rsidRPr="00C70466">
        <w:t>skin and hair</w:t>
      </w:r>
    </w:p>
    <w:p w:rsidR="00000000" w:rsidRPr="00C70466" w:rsidP="00C70466">
      <w:pPr>
        <w:pStyle w:val="ListBullet2"/>
      </w:pPr>
      <w:r w:rsidRPr="00C70466">
        <w:t>dermal/epidermal laminae attachments (suspensory apparatus of PIII)</w:t>
      </w:r>
    </w:p>
    <w:p w:rsidR="00000000" w:rsidRPr="00C70466" w:rsidP="00C70466">
      <w:pPr>
        <w:pStyle w:val="ListBullet"/>
      </w:pPr>
      <w:r w:rsidRPr="00C70466">
        <w:t>signs and causes of lameness, including pain related to orthopaedic, metabolic, cir</w:t>
      </w:r>
      <w:r w:rsidRPr="00C70466">
        <w:t>culatory and infectious causes</w:t>
      </w:r>
    </w:p>
    <w:p w:rsidR="00000000" w:rsidRPr="00C70466" w:rsidP="00C70466">
      <w:pPr>
        <w:pStyle w:val="ListBullet"/>
      </w:pPr>
      <w:r w:rsidRPr="00C70466">
        <w:t>pathology and symptomology of conditions and injuries related to the distal limb, including:</w:t>
      </w:r>
    </w:p>
    <w:p w:rsidR="00000000" w:rsidRPr="00C70466" w:rsidP="00C70466">
      <w:pPr>
        <w:pStyle w:val="ListBullet2"/>
      </w:pPr>
      <w:r w:rsidRPr="00C70466">
        <w:t>interference injuries - brushing, speedy cutting, forging, over-reaching</w:t>
      </w:r>
    </w:p>
    <w:p w:rsidR="00000000" w:rsidRPr="00C70466" w:rsidP="00C70466">
      <w:pPr>
        <w:pStyle w:val="ListBullet2"/>
      </w:pPr>
      <w:r w:rsidRPr="00C70466">
        <w:t>minor conditions - puncture wounds, thin soles, hoof wall cracks, hoof capsule distortion, white line thrush and seedy toe</w:t>
      </w:r>
    </w:p>
    <w:p w:rsidR="00000000" w:rsidRPr="00C70466" w:rsidP="00C70466">
      <w:pPr>
        <w:pStyle w:val="ListBullet2"/>
      </w:pPr>
      <w:r w:rsidRPr="00C70466">
        <w:t>moderate to severe conditions - laminitis, navicular disease, palmar/plantar hoof pain, hoof crack and hoof wall avulsion, flexural d</w:t>
      </w:r>
      <w:r w:rsidRPr="00C70466">
        <w:t>eformities (contracted tendons)</w:t>
      </w:r>
    </w:p>
    <w:p w:rsidR="00000000" w:rsidRPr="00C70466" w:rsidP="00C70466">
      <w:pPr>
        <w:pStyle w:val="ListBullet"/>
      </w:pPr>
      <w:r w:rsidRPr="00C70466">
        <w:t>soft tissue injuries, including to:</w:t>
      </w:r>
    </w:p>
    <w:p w:rsidR="00000000" w:rsidRPr="00C70466" w:rsidP="00C70466">
      <w:pPr>
        <w:pStyle w:val="ListBullet2"/>
      </w:pPr>
      <w:r w:rsidRPr="00C70466">
        <w:t>co-lateral ligament</w:t>
      </w:r>
    </w:p>
    <w:p w:rsidR="00000000" w:rsidRPr="00C70466" w:rsidP="00C70466">
      <w:pPr>
        <w:pStyle w:val="ListBullet2"/>
      </w:pPr>
      <w:r w:rsidRPr="00C70466">
        <w:t>flexor/extensor tendon</w:t>
      </w:r>
    </w:p>
    <w:p w:rsidR="00000000" w:rsidRPr="00C70466" w:rsidP="00C70466">
      <w:pPr>
        <w:pStyle w:val="ListBullet2"/>
      </w:pPr>
      <w:r w:rsidRPr="00C70466">
        <w:t>suspensory ligament lesions</w:t>
      </w:r>
    </w:p>
    <w:p w:rsidR="00000000" w:rsidRPr="00C70466" w:rsidP="00C70466">
      <w:pPr>
        <w:pStyle w:val="ListBullet"/>
      </w:pPr>
      <w:r w:rsidRPr="00C70466">
        <w:t>degenerative joint disease - spavin, high/low ringbone</w:t>
      </w:r>
    </w:p>
    <w:p w:rsidR="00000000" w:rsidRPr="00C70466" w:rsidP="00C70466">
      <w:pPr>
        <w:pStyle w:val="ListBullet"/>
      </w:pPr>
      <w:r w:rsidRPr="00C70466">
        <w:t>relationship between type of work and environment, includin</w:t>
      </w:r>
      <w:r w:rsidRPr="00C70466">
        <w:t>g topography surfaces and diet and nutrition, to equine conditions and pathologies</w:t>
      </w:r>
    </w:p>
    <w:p w:rsidR="00000000" w:rsidRPr="00C70466" w:rsidP="00C70466">
      <w:pPr>
        <w:pStyle w:val="ListBullet"/>
      </w:pPr>
      <w:r w:rsidRPr="00C70466">
        <w:t>approaches to dissecting cadaver legs</w:t>
      </w:r>
    </w:p>
    <w:p w:rsidR="00000000" w:rsidRPr="00C70466" w:rsidP="00C70466">
      <w:pPr>
        <w:pStyle w:val="ListBullet"/>
      </w:pPr>
      <w:r w:rsidRPr="00C70466">
        <w:t>basic features of medical diagnostic imaging, including:</w:t>
      </w:r>
    </w:p>
    <w:p w:rsidR="00000000" w:rsidRPr="00C70466" w:rsidP="00C70466">
      <w:pPr>
        <w:pStyle w:val="ListBullet2"/>
      </w:pPr>
      <w:r w:rsidRPr="00C70466">
        <w:t>radiographs / x-rays</w:t>
      </w:r>
    </w:p>
    <w:p w:rsidR="00000000" w:rsidRPr="00C70466" w:rsidP="00C70466">
      <w:pPr>
        <w:pStyle w:val="ListBullet2"/>
      </w:pPr>
      <w:r w:rsidRPr="00C70466">
        <w:t>computed tomography (contrast CT) using radiocontrast ag</w:t>
      </w:r>
      <w:r w:rsidRPr="00C70466">
        <w:t xml:space="preserve">ents </w:t>
      </w:r>
    </w:p>
    <w:p w:rsidR="00000000" w:rsidRPr="00C70466" w:rsidP="00C70466">
      <w:pPr>
        <w:pStyle w:val="ListBullet2"/>
      </w:pPr>
      <w:r w:rsidRPr="00C70466">
        <w:t>magnetic resonance imaging (MRI)</w:t>
      </w:r>
    </w:p>
    <w:p w:rsidR="00000000" w:rsidRPr="00C70466" w:rsidP="00C70466">
      <w:pPr>
        <w:pStyle w:val="ListBullet"/>
      </w:pPr>
      <w:r w:rsidRPr="00C70466">
        <w:t>relevant regulations, codes of practice and workplace procedures to relating to interacting with equines, including:</w:t>
      </w:r>
    </w:p>
    <w:p w:rsidR="00000000" w:rsidRPr="00C70466" w:rsidP="00C70466">
      <w:pPr>
        <w:pStyle w:val="ListBullet2"/>
      </w:pPr>
      <w:r w:rsidRPr="00C70466">
        <w:t>workplace health and safety and safe work practices</w:t>
      </w:r>
    </w:p>
    <w:p w:rsidR="00000000" w:rsidRPr="00C70466" w:rsidP="00C70466">
      <w:pPr>
        <w:pStyle w:val="ListBullet2"/>
      </w:pPr>
      <w:r w:rsidRPr="00C70466">
        <w:t>animal welfare principles, practices and ethics.</w:t>
      </w:r>
    </w:p>
    <w:p w:rsidR="00000000" w:rsidRPr="00C70466" w:rsidP="00C70466">
      <w:pPr>
        <w:pStyle w:val="AllowPageBreak"/>
      </w:pPr>
    </w:p>
    <w:p w:rsidR="00000000" w:rsidRPr="00C70466" w:rsidP="00C70466">
      <w:pPr>
        <w:pStyle w:val="Heading1"/>
      </w:pPr>
      <w:bookmarkStart w:id="4" w:name="O_991601"/>
      <w:bookmarkEnd w:id="4"/>
      <w:r w:rsidRPr="00C70466">
        <w:t>Assessment Conditions</w:t>
      </w:r>
    </w:p>
    <w:p w:rsidR="00000000" w:rsidRPr="00C70466" w:rsidP="00582D8C">
      <w:pPr>
        <w:pStyle w:val="BodyText"/>
      </w:pPr>
      <w:r w:rsidRPr="00C70466">
        <w:t xml:space="preserve">Assessment of skills must take place under the following conditions: </w:t>
      </w:r>
    </w:p>
    <w:p w:rsidR="00000000" w:rsidRPr="00C70466" w:rsidP="00C70466">
      <w:pPr>
        <w:pStyle w:val="ListBullet"/>
      </w:pPr>
      <w:r w:rsidRPr="00C70466">
        <w:t>physical conditions:</w:t>
      </w:r>
    </w:p>
    <w:p w:rsidR="00000000" w:rsidRPr="00C70466" w:rsidP="00C70466">
      <w:pPr>
        <w:pStyle w:val="ListBullet2"/>
      </w:pPr>
      <w:r w:rsidRPr="00C70466">
        <w:t>a workplace or an environment that accurately represents workplace conditio</w:t>
      </w:r>
      <w:r w:rsidRPr="00C70466">
        <w:t>ns</w:t>
      </w:r>
    </w:p>
    <w:p w:rsidR="00000000" w:rsidRPr="00C70466" w:rsidP="00C70466">
      <w:pPr>
        <w:pStyle w:val="ListBullet"/>
      </w:pPr>
      <w:r w:rsidRPr="00C70466">
        <w:t>resources, equipment and materials:</w:t>
      </w:r>
    </w:p>
    <w:p w:rsidR="00000000" w:rsidRPr="00C70466" w:rsidP="00C70466">
      <w:pPr>
        <w:pStyle w:val="ListBullet2"/>
      </w:pPr>
      <w:r w:rsidRPr="00C70466">
        <w:t xml:space="preserve">various live equines to examine and/or observe movement </w:t>
      </w:r>
    </w:p>
    <w:p w:rsidR="00000000" w:rsidRPr="00C70466" w:rsidP="00C70466">
      <w:pPr>
        <w:pStyle w:val="ListBullet2"/>
      </w:pPr>
      <w:r w:rsidRPr="00C70466">
        <w:t>equine cadaver legs and radiographs of distal limb</w:t>
      </w:r>
    </w:p>
    <w:p w:rsidR="00000000" w:rsidRPr="00C70466" w:rsidP="00C70466">
      <w:pPr>
        <w:pStyle w:val="ListBullet2"/>
      </w:pPr>
      <w:r w:rsidRPr="00C70466">
        <w:t>case studies or simulations (models, videos or DVDs) to supplement information not available to directly ob</w:t>
      </w:r>
      <w:r w:rsidRPr="00C70466">
        <w:t>serve or examine on horses</w:t>
      </w:r>
    </w:p>
    <w:p w:rsidR="00000000" w:rsidRPr="00C70466" w:rsidP="00C70466">
      <w:pPr>
        <w:pStyle w:val="ListBullet2"/>
      </w:pPr>
      <w:r w:rsidRPr="00C70466">
        <w:t>access to information about equine musculoskeletal structures, biomechanics and pathologies.</w:t>
      </w:r>
    </w:p>
    <w:p w:rsidR="00000000" w:rsidRPr="00C70466" w:rsidP="00582D8C">
      <w:pPr>
        <w:pStyle w:val="BodyText"/>
      </w:pPr>
      <w:r w:rsidRPr="00C70466">
        <w:t xml:space="preserve">Training and assessment strategies must show evidence of the use of guidance provided in the </w:t>
      </w:r>
      <w:r w:rsidRPr="00C70466">
        <w:rPr>
          <w:rStyle w:val="Emphasis"/>
        </w:rPr>
        <w:t>Companion Volume: User Guide: Safety in Equ</w:t>
      </w:r>
      <w:r w:rsidRPr="00C70466">
        <w:rPr>
          <w:rStyle w:val="Emphasis"/>
        </w:rPr>
        <w:t>ine Training</w:t>
      </w:r>
      <w:r w:rsidRPr="00C70466">
        <w:t>.</w:t>
      </w:r>
    </w:p>
    <w:p w:rsidR="00000000" w:rsidRPr="00C70466" w:rsidP="00582D8C">
      <w:pPr>
        <w:pStyle w:val="BodyText"/>
      </w:pPr>
      <w:r w:rsidRPr="00C70466">
        <w:t>Assessors of this unit must satisfy the requirements for assessors in applicable vocational education and training legislation, frameworks and/or standards.</w:t>
      </w:r>
    </w:p>
    <w:p w:rsidR="00000000" w:rsidRPr="00C70466" w:rsidP="00C70466">
      <w:pPr>
        <w:pStyle w:val="Heading1"/>
      </w:pPr>
      <w:bookmarkStart w:id="5" w:name="O_991604"/>
      <w:bookmarkEnd w:id="5"/>
      <w:r w:rsidRPr="00C70466">
        <w:t>Links</w:t>
      </w:r>
    </w:p>
    <w:p w:rsidR="00000000" w:rsidRPr="00C70466" w:rsidP="00582D8C">
      <w:pPr>
        <w:pStyle w:val="BodyText"/>
      </w:pPr>
      <w:r w:rsidRPr="00C704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67D0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C70466" w:rsidP="00C70466"/>
    <w:sectPr w:rsidSect="00C704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4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466" w:rsidRPr="00582D8C" w:rsidP="00582D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4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8C" w:rsidP="00C704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2D8C" w:rsidP="00C704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82D8C" w:rsidP="00C704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4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0466" w:rsidRPr="00582D8C" w:rsidP="00582D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4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D8C" w:rsidRPr="002D2AF8" w:rsidP="00C704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ACMFAR401 Apply knowledge of equine musculoskeletal system, biomechanics and pathology for effective hoof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82D8C" w:rsidP="00C704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AA8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163A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B16B8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4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4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4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4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4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4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4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4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4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4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4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466"/>
  </w:style>
  <w:style w:type="character" w:customStyle="1" w:styleId="Heading1Char">
    <w:name w:val="Heading 1 Char"/>
    <w:basedOn w:val="DefaultParagraphFont"/>
    <w:link w:val="Heading1"/>
    <w:rsid w:val="00C704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4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4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046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0466"/>
    <w:rPr>
      <w:b/>
      <w:spacing w:val="0"/>
    </w:rPr>
  </w:style>
  <w:style w:type="paragraph" w:styleId="ListBullet2">
    <w:name w:val="List Bullet 2"/>
    <w:basedOn w:val="List2"/>
    <w:rsid w:val="00C7046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0466"/>
    <w:rPr>
      <w:i/>
    </w:rPr>
  </w:style>
  <w:style w:type="paragraph" w:customStyle="1" w:styleId="SuperHeading">
    <w:name w:val="SuperHeading"/>
    <w:basedOn w:val="Normal"/>
    <w:rsid w:val="00C704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04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04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4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4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4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4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4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4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4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4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4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4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04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4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04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4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4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04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04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04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4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4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04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4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4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4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4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4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4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4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4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04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4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4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466"/>
  </w:style>
  <w:style w:type="paragraph" w:styleId="TableofFigures">
    <w:name w:val="table of figures"/>
    <w:basedOn w:val="Normal"/>
    <w:next w:val="Normal"/>
    <w:semiHidden/>
    <w:rsid w:val="00C704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46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0466"/>
    <w:rPr>
      <w:rFonts w:ascii="Wingdings" w:hAnsi="Wingdings"/>
    </w:rPr>
  </w:style>
  <w:style w:type="paragraph" w:customStyle="1" w:styleId="TableHeading">
    <w:name w:val="Table Heading"/>
    <w:basedOn w:val="HeadingBase"/>
    <w:rsid w:val="00C704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0466"/>
    <w:rPr>
      <w:color w:val="0033CC"/>
      <w:u w:val="none"/>
    </w:rPr>
  </w:style>
  <w:style w:type="paragraph" w:customStyle="1" w:styleId="BodyTextRight">
    <w:name w:val="Body Text Right"/>
    <w:basedOn w:val="BodyText"/>
    <w:rsid w:val="00C704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4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46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4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4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4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466"/>
    <w:rPr>
      <w:sz w:val="32"/>
    </w:rPr>
  </w:style>
  <w:style w:type="paragraph" w:customStyle="1" w:styleId="HeadingProcedure">
    <w:name w:val="Heading Procedure"/>
    <w:basedOn w:val="HeadingBase"/>
    <w:next w:val="Normal"/>
    <w:rsid w:val="00C704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466"/>
    <w:pPr>
      <w:spacing w:before="60" w:after="60"/>
    </w:pPr>
  </w:style>
  <w:style w:type="paragraph" w:styleId="ListContinue">
    <w:name w:val="List Continue"/>
    <w:basedOn w:val="List"/>
    <w:rsid w:val="00C70466"/>
    <w:pPr>
      <w:ind w:firstLine="0"/>
    </w:pPr>
  </w:style>
  <w:style w:type="paragraph" w:customStyle="1" w:styleId="ListNote">
    <w:name w:val="List Note"/>
    <w:basedOn w:val="List"/>
    <w:rsid w:val="00C704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4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4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466"/>
    <w:rPr>
      <w:rFonts w:ascii="Courier New" w:hAnsi="Courier New"/>
    </w:rPr>
  </w:style>
  <w:style w:type="paragraph" w:customStyle="1" w:styleId="NoteBullet">
    <w:name w:val="Note Bullet"/>
    <w:basedOn w:val="Note"/>
    <w:rsid w:val="00C704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4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4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4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46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04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4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466"/>
    <w:rPr>
      <w:b/>
      <w:smallCaps/>
    </w:rPr>
  </w:style>
  <w:style w:type="paragraph" w:customStyle="1" w:styleId="TableListNumber">
    <w:name w:val="Table List Number"/>
    <w:basedOn w:val="ListNumber"/>
    <w:rsid w:val="00C704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4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466"/>
    <w:pPr>
      <w:numPr>
        <w:numId w:val="9"/>
      </w:numPr>
    </w:pPr>
  </w:style>
  <w:style w:type="paragraph" w:customStyle="1" w:styleId="ListAlpha2">
    <w:name w:val="List Alpha 2"/>
    <w:basedOn w:val="List2"/>
    <w:rsid w:val="00C70466"/>
    <w:pPr>
      <w:numPr>
        <w:numId w:val="8"/>
      </w:numPr>
    </w:pPr>
  </w:style>
  <w:style w:type="paragraph" w:styleId="List2">
    <w:name w:val="List 2"/>
    <w:basedOn w:val="BodyText"/>
    <w:rsid w:val="00C704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04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4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4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46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46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0466"/>
    <w:pPr>
      <w:numPr>
        <w:numId w:val="4"/>
      </w:numPr>
    </w:pPr>
  </w:style>
  <w:style w:type="paragraph" w:styleId="ListContinue2">
    <w:name w:val="List Continue 2"/>
    <w:basedOn w:val="List2"/>
    <w:rsid w:val="00C70466"/>
    <w:pPr>
      <w:ind w:firstLine="0"/>
    </w:pPr>
  </w:style>
  <w:style w:type="paragraph" w:styleId="ListContinue3">
    <w:name w:val="List Continue 3"/>
    <w:basedOn w:val="List3"/>
    <w:rsid w:val="00C70466"/>
    <w:pPr>
      <w:ind w:left="1021" w:firstLine="0"/>
    </w:pPr>
  </w:style>
  <w:style w:type="paragraph" w:styleId="ListContinue4">
    <w:name w:val="List Continue 4"/>
    <w:basedOn w:val="List4"/>
    <w:rsid w:val="00C70466"/>
    <w:pPr>
      <w:ind w:firstLine="0"/>
    </w:pPr>
  </w:style>
  <w:style w:type="paragraph" w:styleId="ListContinue5">
    <w:name w:val="List Continue 5"/>
    <w:basedOn w:val="List5"/>
    <w:rsid w:val="00C70466"/>
    <w:pPr>
      <w:ind w:firstLine="0"/>
    </w:pPr>
  </w:style>
  <w:style w:type="paragraph" w:styleId="ListNumber3">
    <w:name w:val="List Number 3"/>
    <w:basedOn w:val="List3"/>
    <w:rsid w:val="00C70466"/>
    <w:pPr>
      <w:numPr>
        <w:numId w:val="5"/>
      </w:numPr>
    </w:pPr>
  </w:style>
  <w:style w:type="paragraph" w:styleId="ListNumber4">
    <w:name w:val="List Number 4"/>
    <w:basedOn w:val="List4"/>
    <w:rsid w:val="00C70466"/>
    <w:pPr>
      <w:numPr>
        <w:numId w:val="6"/>
      </w:numPr>
    </w:pPr>
  </w:style>
  <w:style w:type="paragraph" w:styleId="ListNumber5">
    <w:name w:val="List Number 5"/>
    <w:basedOn w:val="List5"/>
    <w:rsid w:val="00C70466"/>
    <w:pPr>
      <w:numPr>
        <w:numId w:val="7"/>
      </w:numPr>
    </w:pPr>
  </w:style>
  <w:style w:type="paragraph" w:styleId="BlockText">
    <w:name w:val="Block Text"/>
    <w:basedOn w:val="Normal"/>
    <w:rsid w:val="00C704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4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466"/>
    <w:rPr>
      <w:sz w:val="16"/>
      <w:vertAlign w:val="superscript"/>
    </w:rPr>
  </w:style>
  <w:style w:type="character" w:customStyle="1" w:styleId="Symbols">
    <w:name w:val="Symbols"/>
    <w:basedOn w:val="DefaultParagraphFont"/>
    <w:rsid w:val="00C70466"/>
    <w:rPr>
      <w:rFonts w:ascii="Symbol" w:hAnsi="Symbol"/>
    </w:rPr>
  </w:style>
  <w:style w:type="character" w:customStyle="1" w:styleId="MenuOptions">
    <w:name w:val="Menu Options"/>
    <w:basedOn w:val="DefaultParagraphFont"/>
    <w:rsid w:val="00C704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466"/>
    <w:rPr>
      <w:b/>
    </w:rPr>
  </w:style>
  <w:style w:type="character" w:customStyle="1" w:styleId="Underlined">
    <w:name w:val="Underlined"/>
    <w:basedOn w:val="DefaultParagraphFont"/>
    <w:rsid w:val="00C70466"/>
    <w:rPr>
      <w:u w:val="single"/>
    </w:rPr>
  </w:style>
  <w:style w:type="paragraph" w:customStyle="1" w:styleId="TableBodyTextRight">
    <w:name w:val="Table Body Text Right"/>
    <w:basedOn w:val="TableBodyText"/>
    <w:rsid w:val="00C704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466"/>
    <w:rPr>
      <w:sz w:val="18"/>
    </w:rPr>
  </w:style>
  <w:style w:type="paragraph" w:customStyle="1" w:styleId="BodySmallRight">
    <w:name w:val="Body Small Right"/>
    <w:basedOn w:val="BodyTextRight"/>
    <w:rsid w:val="00C70466"/>
    <w:rPr>
      <w:sz w:val="18"/>
      <w:szCs w:val="18"/>
    </w:rPr>
  </w:style>
  <w:style w:type="paragraph" w:customStyle="1" w:styleId="MarginEdition">
    <w:name w:val="Margin Edition"/>
    <w:basedOn w:val="MarginNote"/>
    <w:rsid w:val="00C704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466"/>
    <w:rPr>
      <w:sz w:val="2"/>
      <w:szCs w:val="2"/>
    </w:rPr>
  </w:style>
  <w:style w:type="character" w:customStyle="1" w:styleId="Small">
    <w:name w:val="Small"/>
    <w:basedOn w:val="DefaultParagraphFont"/>
    <w:rsid w:val="00C70466"/>
    <w:rPr>
      <w:sz w:val="16"/>
    </w:rPr>
  </w:style>
  <w:style w:type="paragraph" w:customStyle="1" w:styleId="WideTable">
    <w:name w:val="Wide Table"/>
    <w:basedOn w:val="Normal"/>
    <w:rsid w:val="00C704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466"/>
  </w:style>
  <w:style w:type="paragraph" w:styleId="Quote">
    <w:name w:val="Quote"/>
    <w:basedOn w:val="Heading1"/>
    <w:link w:val="QuoteChar"/>
    <w:qFormat/>
    <w:rsid w:val="00C704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4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466"/>
    <w:pPr>
      <w:pageBreakBefore/>
    </w:pPr>
  </w:style>
  <w:style w:type="paragraph" w:customStyle="1" w:styleId="Border">
    <w:name w:val="Border"/>
    <w:basedOn w:val="Normal"/>
    <w:qFormat/>
    <w:rsid w:val="00C704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4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4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4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4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4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4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4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4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466"/>
    <w:rPr>
      <w:u w:val="single"/>
    </w:rPr>
  </w:style>
  <w:style w:type="character" w:customStyle="1" w:styleId="BoldandItalics">
    <w:name w:val="Bold and Italics"/>
    <w:qFormat/>
    <w:rsid w:val="00C70466"/>
    <w:rPr>
      <w:b/>
      <w:i/>
      <w:u w:val="none"/>
    </w:rPr>
  </w:style>
  <w:style w:type="paragraph" w:styleId="BalloonText">
    <w:name w:val="Balloon Text"/>
    <w:basedOn w:val="Normal"/>
    <w:link w:val="BalloonTextChar"/>
    <w:rsid w:val="00C704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4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4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4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4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4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0466"/>
    <w:pPr>
      <w:spacing w:before="0" w:after="0"/>
    </w:pPr>
  </w:style>
  <w:style w:type="paragraph" w:customStyle="1" w:styleId="BodyTextBold">
    <w:name w:val="Body Text Bold"/>
    <w:basedOn w:val="BodyText"/>
    <w:qFormat/>
    <w:rsid w:val="00C70466"/>
    <w:rPr>
      <w:b/>
    </w:rPr>
  </w:style>
  <w:style w:type="character" w:styleId="Hyperlink">
    <w:name w:val="Hyperlink"/>
    <w:basedOn w:val="DefaultParagraphFont"/>
    <w:uiPriority w:val="99"/>
    <w:unhideWhenUsed/>
    <w:rsid w:val="00582D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790</Words>
  <Characters>5076</Characters>
  <Application>Microsoft Office Word</Application>
  <DocSecurity>0</DocSecurity>
  <Lines>133</Lines>
  <Paragraphs>106</Paragraphs>
  <ScaleCrop>false</ScaleCrop>
  <Company>Author-it Software Corporation Ltd.</Company>
  <LinksUpToDate>false</LinksUpToDate>
  <CharactersWithSpaces>5760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ACMFAR401 Apply knowledge of equine musculoskeletal system, biomechanics and pathology for effective hoof care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2022-07-16T08:19:00Z</dcterms:created>
  <dcterms:modified xsi:type="dcterms:W3CDTF">2022-07-16T08:19:00Z</dcterms:modified>
</cp:coreProperties>
</file>