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954" w:rsidP="00560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ACMEXH304 Assist with capturing, restraining and moving animals</w:t>
      </w:r>
      <w:r>
        <w:fldChar w:fldCharType="end"/>
      </w:r>
    </w:p>
    <w:p w:rsidR="00560954" w:rsidP="00560954">
      <w:pPr>
        <w:pStyle w:val="Version"/>
        <w:sectPr w:rsidSect="006A5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04F" w:rsidP="006A504F">
      <w:pPr>
        <w:pStyle w:val="SuperHeading"/>
      </w:pPr>
      <w:r w:rsidRPr="006A504F">
        <w:t>Assessment Requirements for ACMEXH304 Assist with capturing, restraining and moving animals</w:t>
      </w:r>
    </w:p>
    <w:p w:rsidR="00000000" w:rsidRPr="006A504F" w:rsidP="006A504F">
      <w:pPr>
        <w:pStyle w:val="Heading1"/>
      </w:pPr>
      <w:bookmarkStart w:id="1" w:name="O_1168220"/>
      <w:bookmarkEnd w:id="1"/>
      <w:r w:rsidRPr="006A50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5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04F">
            <w:pPr>
              <w:pStyle w:val="BodyTextBold"/>
              <w:rPr>
                <w:lang w:val="en-NZ"/>
              </w:rPr>
            </w:pPr>
            <w:r w:rsidRPr="006A50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04F">
            <w:pPr>
              <w:pStyle w:val="BodyTextBold"/>
              <w:rPr>
                <w:lang w:val="en-NZ"/>
              </w:rPr>
            </w:pPr>
            <w:r w:rsidRPr="006A504F">
              <w:t>Comments</w:t>
            </w:r>
          </w:p>
        </w:tc>
      </w:tr>
      <w:tr w:rsidTr="006A5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04F">
            <w:pPr>
              <w:pStyle w:val="BodyText"/>
              <w:rPr>
                <w:lang w:val="en-NZ"/>
              </w:rPr>
            </w:pPr>
            <w:r w:rsidRPr="006A50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04F" w:rsidP="006A504F">
            <w:pPr>
              <w:pStyle w:val="BodyText"/>
            </w:pPr>
            <w:r w:rsidRPr="006A504F">
              <w:t>This version released with ACM Animal Care and Management Training Package Version 4.0.</w:t>
            </w:r>
          </w:p>
        </w:tc>
      </w:tr>
    </w:tbl>
    <w:p w:rsidR="00000000" w:rsidRPr="006A504F" w:rsidP="006A504F">
      <w:pPr>
        <w:pStyle w:val="BodyText"/>
      </w:pPr>
    </w:p>
    <w:p w:rsidR="00000000" w:rsidRPr="006A504F" w:rsidP="006A504F">
      <w:pPr>
        <w:pStyle w:val="AllowPageBreak"/>
      </w:pPr>
    </w:p>
    <w:p w:rsidR="00000000" w:rsidRPr="006A504F" w:rsidP="006A504F">
      <w:pPr>
        <w:pStyle w:val="Heading1"/>
      </w:pPr>
      <w:bookmarkStart w:id="2" w:name="O_1168221"/>
      <w:bookmarkEnd w:id="2"/>
      <w:r w:rsidRPr="006A504F">
        <w:t>Performance Evidence</w:t>
      </w:r>
    </w:p>
    <w:p w:rsidR="00000000" w:rsidRPr="006A504F" w:rsidP="00560954">
      <w:pPr>
        <w:pStyle w:val="BodyText"/>
      </w:pPr>
      <w:r w:rsidRPr="006A504F">
        <w:t>An individual demonstrating competency must satisfy all of the elements and performance criteria in this unit.</w:t>
      </w:r>
    </w:p>
    <w:p w:rsidR="00000000" w:rsidRPr="006A504F" w:rsidP="00560954">
      <w:pPr>
        <w:pStyle w:val="BodyText"/>
      </w:pPr>
      <w:r w:rsidRPr="006A504F">
        <w:t>There must be evidence that the individual has:</w:t>
      </w:r>
    </w:p>
    <w:p w:rsidR="00000000" w:rsidRPr="006A504F" w:rsidP="006A504F">
      <w:pPr>
        <w:pStyle w:val="ListBullet"/>
      </w:pPr>
      <w:r w:rsidRPr="006A504F">
        <w:t>assisted in capturing, restraining and moving a minimum o</w:t>
      </w:r>
      <w:r w:rsidRPr="006A504F">
        <w:t>f three different animals using safe, humane species-specific methods and equipment.</w:t>
      </w:r>
    </w:p>
    <w:p w:rsidR="00000000" w:rsidRPr="006A504F" w:rsidP="006A504F">
      <w:pPr>
        <w:pStyle w:val="AllowPageBreak"/>
      </w:pPr>
    </w:p>
    <w:p w:rsidR="00000000" w:rsidRPr="006A504F" w:rsidP="006A504F">
      <w:pPr>
        <w:pStyle w:val="Heading1"/>
      </w:pPr>
      <w:bookmarkStart w:id="3" w:name="O_1168222"/>
      <w:bookmarkEnd w:id="3"/>
      <w:r w:rsidRPr="006A504F">
        <w:t>Knowledge Evidence</w:t>
      </w:r>
    </w:p>
    <w:p w:rsidR="00000000" w:rsidRPr="006A504F" w:rsidP="00560954">
      <w:pPr>
        <w:pStyle w:val="BodyText"/>
      </w:pPr>
      <w:r w:rsidRPr="006A504F">
        <w:t>An individual must be able to demonstrate the knowledge required to perform the tasks outlined in the elements and performance criteria of this unit. This includes knowledge of:</w:t>
      </w:r>
    </w:p>
    <w:p w:rsidR="00000000" w:rsidRPr="006A504F" w:rsidP="006A504F">
      <w:pPr>
        <w:pStyle w:val="ListBullet"/>
      </w:pPr>
      <w:r w:rsidRPr="006A504F">
        <w:t>key requirements of facility procedures for capturing, restraining and moving</w:t>
      </w:r>
      <w:r w:rsidRPr="006A504F">
        <w:t xml:space="preserve"> animals, including:</w:t>
      </w:r>
    </w:p>
    <w:p w:rsidR="00000000" w:rsidRPr="006A504F" w:rsidP="006A504F">
      <w:pPr>
        <w:pStyle w:val="ListBullet2"/>
      </w:pPr>
      <w:r w:rsidRPr="006A504F">
        <w:t>emergency, security and escape procedures</w:t>
      </w:r>
    </w:p>
    <w:p w:rsidR="00000000" w:rsidRPr="006A504F" w:rsidP="006A504F">
      <w:pPr>
        <w:pStyle w:val="ListBullet2"/>
      </w:pPr>
      <w:r w:rsidRPr="006A504F">
        <w:t>workplace health and safety – hygiene, infection control, biosecurity, manual handling</w:t>
      </w:r>
    </w:p>
    <w:p w:rsidR="00000000" w:rsidRPr="006A504F" w:rsidP="006A504F">
      <w:pPr>
        <w:pStyle w:val="ListBullet"/>
      </w:pPr>
      <w:r w:rsidRPr="006A504F">
        <w:t>key animal welfare considerations for capturing, restraining and transporting animals</w:t>
      </w:r>
    </w:p>
    <w:p w:rsidR="00000000" w:rsidRPr="006A504F" w:rsidP="006A504F">
      <w:pPr>
        <w:pStyle w:val="ListBullet"/>
      </w:pPr>
      <w:r w:rsidRPr="006A504F">
        <w:t>species-specific i</w:t>
      </w:r>
      <w:r w:rsidRPr="006A504F">
        <w:t>nformation for animals that are captured, restrained and transported by the facility, including:</w:t>
      </w:r>
    </w:p>
    <w:p w:rsidR="00000000" w:rsidRPr="006A504F" w:rsidP="006A504F">
      <w:pPr>
        <w:pStyle w:val="ListBullet2"/>
      </w:pPr>
      <w:r w:rsidRPr="006A504F">
        <w:t>anatomical structures and physiological features</w:t>
      </w:r>
    </w:p>
    <w:p w:rsidR="00000000" w:rsidRPr="006A504F" w:rsidP="006A504F">
      <w:pPr>
        <w:pStyle w:val="ListBullet2"/>
      </w:pPr>
      <w:r w:rsidRPr="006A504F">
        <w:t>behavioural features – nature, defence mechanisms, stress response</w:t>
      </w:r>
    </w:p>
    <w:p w:rsidR="00000000" w:rsidRPr="006A504F" w:rsidP="006A504F">
      <w:pPr>
        <w:pStyle w:val="ListBullet2"/>
      </w:pPr>
      <w:r w:rsidRPr="006A504F">
        <w:t>animal husbandry requirements</w:t>
      </w:r>
    </w:p>
    <w:p w:rsidR="00000000" w:rsidRPr="006A504F" w:rsidP="006A504F">
      <w:pPr>
        <w:pStyle w:val="ListBullet2"/>
      </w:pPr>
      <w:r w:rsidRPr="006A504F">
        <w:t>handling tec</w:t>
      </w:r>
      <w:r w:rsidRPr="006A504F">
        <w:t>hniques</w:t>
      </w:r>
    </w:p>
    <w:p w:rsidR="00000000" w:rsidRPr="006A504F" w:rsidP="006A504F">
      <w:pPr>
        <w:pStyle w:val="ListBullet"/>
      </w:pPr>
      <w:r w:rsidRPr="006A504F">
        <w:t>planning considerations for capturing, restraining and moving animals, including:</w:t>
      </w:r>
    </w:p>
    <w:p w:rsidR="00000000" w:rsidRPr="006A504F" w:rsidP="006A504F">
      <w:pPr>
        <w:pStyle w:val="ListBullet2"/>
      </w:pPr>
      <w:r w:rsidRPr="006A504F">
        <w:t>assessment of impact on animal and/or group</w:t>
      </w:r>
    </w:p>
    <w:p w:rsidR="00000000" w:rsidRPr="006A504F" w:rsidP="006A504F">
      <w:pPr>
        <w:pStyle w:val="ListBullet2"/>
      </w:pPr>
      <w:r w:rsidRPr="006A504F">
        <w:t>species-specific capture technique</w:t>
      </w:r>
    </w:p>
    <w:p w:rsidR="00000000" w:rsidRPr="006A504F" w:rsidP="006A504F">
      <w:pPr>
        <w:pStyle w:val="ListBullet2"/>
      </w:pPr>
      <w:r w:rsidRPr="006A504F">
        <w:t>restraint techniques –</w:t>
      </w:r>
      <w:r w:rsidRPr="006A504F">
        <w:t xml:space="preserve"> conditioned behaviour, physical and/or chemical (sedation/anaesthesia)</w:t>
      </w:r>
    </w:p>
    <w:p w:rsidR="00000000" w:rsidRPr="006A504F" w:rsidP="006A504F">
      <w:pPr>
        <w:pStyle w:val="ListBullet2"/>
      </w:pPr>
      <w:r w:rsidRPr="006A504F">
        <w:t>staff numbers and roles, including veterinary</w:t>
      </w:r>
    </w:p>
    <w:p w:rsidR="00000000" w:rsidRPr="006A504F" w:rsidP="006A504F">
      <w:pPr>
        <w:pStyle w:val="ListBullet2"/>
      </w:pPr>
      <w:r w:rsidRPr="006A504F">
        <w:t>environment and climatic conditions</w:t>
      </w:r>
    </w:p>
    <w:p w:rsidR="00000000" w:rsidRPr="006A504F" w:rsidP="006A504F">
      <w:pPr>
        <w:pStyle w:val="ListBullet2"/>
      </w:pPr>
      <w:r w:rsidRPr="006A504F">
        <w:t>contingency plans in the event of escape</w:t>
      </w:r>
    </w:p>
    <w:p w:rsidR="00000000" w:rsidRPr="006A504F" w:rsidP="006A504F">
      <w:pPr>
        <w:pStyle w:val="ListBullet2"/>
      </w:pPr>
      <w:r w:rsidRPr="006A504F">
        <w:t>equipment required</w:t>
      </w:r>
    </w:p>
    <w:p w:rsidR="00000000" w:rsidRPr="006A504F" w:rsidP="006A504F">
      <w:pPr>
        <w:pStyle w:val="ListBullet2"/>
      </w:pPr>
      <w:r w:rsidRPr="006A504F">
        <w:t>safety issues for the public, team members</w:t>
      </w:r>
      <w:r w:rsidRPr="006A504F">
        <w:t xml:space="preserve"> and animals</w:t>
      </w:r>
    </w:p>
    <w:p w:rsidR="00000000" w:rsidRPr="006A504F" w:rsidP="006A504F">
      <w:pPr>
        <w:pStyle w:val="ListBullet2"/>
      </w:pPr>
      <w:r w:rsidRPr="006A504F">
        <w:t>time factors</w:t>
      </w:r>
    </w:p>
    <w:p w:rsidR="00000000" w:rsidRPr="006A504F" w:rsidP="006A504F">
      <w:pPr>
        <w:pStyle w:val="ListBullet"/>
      </w:pPr>
      <w:r w:rsidRPr="006A504F">
        <w:t>types, appropriate use and maintenance of equipment, including:</w:t>
      </w:r>
    </w:p>
    <w:p w:rsidR="00000000" w:rsidRPr="006A504F" w:rsidP="006A504F">
      <w:pPr>
        <w:pStyle w:val="ListBullet2"/>
      </w:pPr>
      <w:r w:rsidRPr="006A504F">
        <w:t>bags, nets, ropes, catch poles</w:t>
      </w:r>
    </w:p>
    <w:p w:rsidR="00000000" w:rsidRPr="006A504F" w:rsidP="006A504F">
      <w:pPr>
        <w:pStyle w:val="ListBullet2"/>
      </w:pPr>
      <w:r w:rsidRPr="006A504F">
        <w:t>transportation containers</w:t>
      </w:r>
    </w:p>
    <w:p w:rsidR="00000000" w:rsidRPr="006A504F" w:rsidP="006A504F">
      <w:pPr>
        <w:pStyle w:val="ListBullet2"/>
      </w:pPr>
      <w:r w:rsidRPr="006A504F">
        <w:t>visual barriers</w:t>
      </w:r>
    </w:p>
    <w:p w:rsidR="00000000" w:rsidRPr="006A504F" w:rsidP="006A504F">
      <w:pPr>
        <w:pStyle w:val="ListBullet"/>
      </w:pPr>
      <w:r w:rsidRPr="006A504F">
        <w:t>risks involved when handling animals, including:</w:t>
      </w:r>
    </w:p>
    <w:p w:rsidR="00000000" w:rsidRPr="006A504F" w:rsidP="006A504F">
      <w:pPr>
        <w:pStyle w:val="ListBullet2"/>
      </w:pPr>
      <w:r w:rsidRPr="006A504F">
        <w:t>animal bites, envenomation, kicks, scratches, intraocular contamination and crush injuries</w:t>
      </w:r>
    </w:p>
    <w:p w:rsidR="00000000" w:rsidRPr="006A504F" w:rsidP="006A504F">
      <w:pPr>
        <w:pStyle w:val="ListBullet2"/>
      </w:pPr>
      <w:r w:rsidRPr="006A504F">
        <w:t>biological hazardous waste and sharps injuries</w:t>
      </w:r>
    </w:p>
    <w:p w:rsidR="00000000" w:rsidRPr="006A504F" w:rsidP="006A504F">
      <w:pPr>
        <w:pStyle w:val="ListBullet2"/>
      </w:pPr>
      <w:r w:rsidRPr="006A504F">
        <w:t>handling of chemicals and biological waste, including disposal of deceased animals</w:t>
      </w:r>
    </w:p>
    <w:p w:rsidR="00000000" w:rsidRPr="006A504F" w:rsidP="006A504F">
      <w:pPr>
        <w:pStyle w:val="ListBullet2"/>
      </w:pPr>
      <w:r w:rsidRPr="006A504F">
        <w:t>manual handling, including carrying</w:t>
      </w:r>
      <w:r w:rsidRPr="006A504F">
        <w:t>, lifting and shifting</w:t>
      </w:r>
    </w:p>
    <w:p w:rsidR="00000000" w:rsidRPr="006A504F" w:rsidP="006A504F">
      <w:pPr>
        <w:pStyle w:val="ListBullet2"/>
      </w:pPr>
      <w:r w:rsidRPr="006A504F">
        <w:t>release of infective agents, zoonotic diseases</w:t>
      </w:r>
    </w:p>
    <w:p w:rsidR="00000000" w:rsidRPr="006A504F" w:rsidP="006A504F">
      <w:pPr>
        <w:pStyle w:val="ListBullet2"/>
      </w:pPr>
      <w:r w:rsidRPr="006A504F">
        <w:t>slippery or uneven work surfaces</w:t>
      </w:r>
    </w:p>
    <w:p w:rsidR="00000000" w:rsidRPr="006A504F" w:rsidP="006A504F">
      <w:pPr>
        <w:pStyle w:val="ListBullet"/>
      </w:pPr>
      <w:r w:rsidRPr="006A504F">
        <w:t>key requirements of state/territory legislation, regulations, standards and protocols for transporting live animals, including:</w:t>
      </w:r>
    </w:p>
    <w:p w:rsidR="00000000" w:rsidRPr="006A504F" w:rsidP="006A504F">
      <w:pPr>
        <w:pStyle w:val="ListBullet2"/>
      </w:pPr>
      <w:r w:rsidRPr="006A504F">
        <w:t>Australian Animal Welfa</w:t>
      </w:r>
      <w:r w:rsidRPr="006A504F">
        <w:t>re Standards and Guidelines</w:t>
      </w:r>
    </w:p>
    <w:p w:rsidR="00000000" w:rsidRPr="006A504F" w:rsidP="006A504F">
      <w:pPr>
        <w:pStyle w:val="ListBullet2"/>
      </w:pPr>
      <w:r w:rsidRPr="006A504F">
        <w:t>International Air Transport Association (IATA) shipment requirements and protocols</w:t>
      </w:r>
    </w:p>
    <w:p w:rsidR="00000000" w:rsidRPr="006A504F" w:rsidP="006A504F">
      <w:pPr>
        <w:pStyle w:val="ListBullet2"/>
      </w:pPr>
      <w:r w:rsidRPr="006A504F">
        <w:t>relevant quarantine requirements for the external shipment of animals, including government department requirements for biosecurity and quarantin</w:t>
      </w:r>
      <w:r w:rsidRPr="006A504F">
        <w:t>e, import and export licences and Australasian Species Management Program (ASMP)</w:t>
      </w:r>
    </w:p>
    <w:p w:rsidR="00000000" w:rsidRPr="006A504F" w:rsidP="006A504F">
      <w:pPr>
        <w:pStyle w:val="ListBullet2"/>
      </w:pPr>
      <w:r w:rsidRPr="006A504F">
        <w:t>Convention on International Trade in Endangered Species of Wild Fauna and Flora (CITES).</w:t>
      </w:r>
    </w:p>
    <w:p w:rsidR="00000000" w:rsidRPr="006A504F" w:rsidP="006A504F">
      <w:pPr>
        <w:pStyle w:val="AllowPageBreak"/>
      </w:pPr>
    </w:p>
    <w:p w:rsidR="00000000" w:rsidRPr="006A504F" w:rsidP="006A504F">
      <w:pPr>
        <w:pStyle w:val="Heading1"/>
      </w:pPr>
      <w:bookmarkStart w:id="4" w:name="O_1168223"/>
      <w:bookmarkEnd w:id="4"/>
      <w:r w:rsidRPr="006A504F">
        <w:t>Assessment Conditions</w:t>
      </w:r>
    </w:p>
    <w:p w:rsidR="00000000" w:rsidRPr="006A504F" w:rsidP="00560954">
      <w:pPr>
        <w:pStyle w:val="BodyText"/>
      </w:pPr>
      <w:r w:rsidRPr="006A504F">
        <w:t>Assessment of the sk</w:t>
      </w:r>
      <w:r w:rsidRPr="006A504F">
        <w:t>ills in this unit of competency must take place under the following conditions:</w:t>
      </w:r>
    </w:p>
    <w:p w:rsidR="00000000" w:rsidRPr="006A504F" w:rsidP="006A504F">
      <w:pPr>
        <w:pStyle w:val="ListBullet"/>
      </w:pPr>
      <w:r w:rsidRPr="006A504F">
        <w:t>physical conditions:</w:t>
      </w:r>
    </w:p>
    <w:p w:rsidR="00000000" w:rsidRPr="006A504F" w:rsidP="006A504F">
      <w:pPr>
        <w:pStyle w:val="ListBullet2"/>
      </w:pPr>
      <w:r w:rsidRPr="006A504F">
        <w:t>an animal care workplace or an environment that accurately reflects a real workplace setting – this includes the use of mannequins and scenarios where as</w:t>
      </w:r>
      <w:r w:rsidRPr="006A504F">
        <w:t>sessment would be unsafe, impractical or unethical using live animals</w:t>
      </w:r>
    </w:p>
    <w:p w:rsidR="00000000" w:rsidRPr="006A504F" w:rsidP="006A504F">
      <w:pPr>
        <w:pStyle w:val="ListBullet"/>
      </w:pPr>
      <w:r w:rsidRPr="006A504F">
        <w:t>resources, equipment and materials:</w:t>
      </w:r>
    </w:p>
    <w:p w:rsidR="00000000" w:rsidRPr="006A504F" w:rsidP="006A504F">
      <w:pPr>
        <w:pStyle w:val="ListBullet2"/>
      </w:pPr>
      <w:r w:rsidRPr="006A504F">
        <w:t>a range of live animals or realistic mannequins</w:t>
      </w:r>
    </w:p>
    <w:p w:rsidR="00000000" w:rsidRPr="006A504F" w:rsidP="006A504F">
      <w:pPr>
        <w:pStyle w:val="ListBullet2"/>
      </w:pPr>
      <w:r w:rsidRPr="006A504F">
        <w:t>species-specific equipment and resources typically available in a captive animal facility</w:t>
      </w:r>
    </w:p>
    <w:p w:rsidR="00000000" w:rsidRPr="006A504F" w:rsidP="006A504F">
      <w:pPr>
        <w:pStyle w:val="ListBullet"/>
      </w:pPr>
      <w:r w:rsidRPr="006A504F">
        <w:t>specifica</w:t>
      </w:r>
      <w:r w:rsidRPr="006A504F">
        <w:t>tions:</w:t>
      </w:r>
    </w:p>
    <w:p w:rsidR="00000000" w:rsidRPr="006A504F" w:rsidP="006A504F">
      <w:pPr>
        <w:pStyle w:val="ListBullet2"/>
      </w:pPr>
      <w:r w:rsidRPr="006A504F">
        <w:t>facility policies and procedures, key legislation, standards and regulations for transporting animals</w:t>
      </w:r>
    </w:p>
    <w:p w:rsidR="00000000" w:rsidRPr="006A504F" w:rsidP="006A504F">
      <w:pPr>
        <w:pStyle w:val="ListBullet"/>
      </w:pPr>
      <w:r w:rsidRPr="006A504F">
        <w:t>relationships:</w:t>
      </w:r>
    </w:p>
    <w:p w:rsidR="00000000" w:rsidRPr="006A504F" w:rsidP="006A504F">
      <w:pPr>
        <w:pStyle w:val="ListBullet2"/>
      </w:pPr>
      <w:r w:rsidRPr="006A504F">
        <w:t>interactions with supervisor and team members.</w:t>
      </w:r>
    </w:p>
    <w:p w:rsidR="00000000" w:rsidRPr="006A504F" w:rsidP="00560954">
      <w:pPr>
        <w:pStyle w:val="BodyText"/>
      </w:pPr>
      <w:r w:rsidRPr="006A504F">
        <w:t>A</w:t>
      </w:r>
      <w:r w:rsidRPr="006A504F">
        <w:t>ssessors of this unit must satisfy the requirements for assessors in applicable vocational education and training legislation, frameworks and/or standards.</w:t>
      </w:r>
    </w:p>
    <w:p w:rsidR="00000000" w:rsidRPr="006A504F" w:rsidP="006A504F">
      <w:pPr>
        <w:pStyle w:val="Heading1"/>
      </w:pPr>
      <w:bookmarkStart w:id="5" w:name="O_1168226"/>
      <w:bookmarkEnd w:id="5"/>
      <w:r w:rsidRPr="006A504F">
        <w:t>Links</w:t>
      </w:r>
    </w:p>
    <w:p w:rsidR="00000000" w:rsidRPr="006A504F" w:rsidP="00560954">
      <w:pPr>
        <w:pStyle w:val="BodyText"/>
      </w:pPr>
      <w:r w:rsidRPr="006A504F">
        <w:t>Companion Volumes, including Implementation Guides, are available at VETNet</w:t>
      </w:r>
      <w:r w:rsidRPr="006A504F">
        <w:t xml:space="preserve">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C359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A504F" w:rsidP="006A504F"/>
    <w:sectPr w:rsidSect="006A5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4F" w:rsidRPr="00560954" w:rsidP="00560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54" w:rsidP="006A5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954" w:rsidP="006A5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0954" w:rsidP="006A5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04F" w:rsidRPr="00560954" w:rsidP="00560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54" w:rsidRPr="002D2AF8" w:rsidP="006A5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ACMEXH304 Assist with capturing, restraining and moving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60954" w:rsidP="006A5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6C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C2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723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04F"/>
  </w:style>
  <w:style w:type="character" w:customStyle="1" w:styleId="Heading1Char">
    <w:name w:val="Heading 1 Char"/>
    <w:basedOn w:val="DefaultParagraphFont"/>
    <w:link w:val="Heading1"/>
    <w:rsid w:val="006A5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0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0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50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5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504F"/>
    <w:rPr>
      <w:b/>
    </w:rPr>
  </w:style>
  <w:style w:type="character" w:customStyle="1" w:styleId="Heading2Char">
    <w:name w:val="Heading 2 Char"/>
    <w:basedOn w:val="DefaultParagraphFont"/>
    <w:link w:val="Heading2"/>
    <w:rsid w:val="006A5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0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504F"/>
    <w:rPr>
      <w:b/>
      <w:spacing w:val="0"/>
    </w:rPr>
  </w:style>
  <w:style w:type="paragraph" w:customStyle="1" w:styleId="SuperTitle">
    <w:name w:val="SuperTitle"/>
    <w:basedOn w:val="Title"/>
    <w:rsid w:val="006A5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04F"/>
    <w:rPr>
      <w:i/>
    </w:rPr>
  </w:style>
  <w:style w:type="paragraph" w:styleId="Caption">
    <w:name w:val="caption"/>
    <w:basedOn w:val="BodyText"/>
    <w:next w:val="Normal"/>
    <w:qFormat/>
    <w:rsid w:val="006A5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04F"/>
  </w:style>
  <w:style w:type="paragraph" w:styleId="TableofFigures">
    <w:name w:val="table of figures"/>
    <w:basedOn w:val="Normal"/>
    <w:next w:val="Normal"/>
    <w:semiHidden/>
    <w:rsid w:val="006A5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0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04F"/>
    <w:rPr>
      <w:rFonts w:ascii="Wingdings" w:hAnsi="Wingdings"/>
    </w:rPr>
  </w:style>
  <w:style w:type="paragraph" w:customStyle="1" w:styleId="TableHeading">
    <w:name w:val="Table Heading"/>
    <w:basedOn w:val="HeadingBase"/>
    <w:rsid w:val="006A5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04F"/>
    <w:rPr>
      <w:color w:val="0033CC"/>
      <w:u w:val="none"/>
    </w:rPr>
  </w:style>
  <w:style w:type="paragraph" w:customStyle="1" w:styleId="BodyTextRight">
    <w:name w:val="Body Text Right"/>
    <w:basedOn w:val="BodyText"/>
    <w:rsid w:val="006A5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0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04F"/>
    <w:rPr>
      <w:sz w:val="32"/>
    </w:rPr>
  </w:style>
  <w:style w:type="paragraph" w:customStyle="1" w:styleId="HeadingProcedure">
    <w:name w:val="Heading Procedure"/>
    <w:basedOn w:val="HeadingBase"/>
    <w:next w:val="Normal"/>
    <w:rsid w:val="006A5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04F"/>
    <w:pPr>
      <w:spacing w:before="60" w:after="60"/>
    </w:pPr>
  </w:style>
  <w:style w:type="paragraph" w:styleId="ListContinue">
    <w:name w:val="List Continue"/>
    <w:basedOn w:val="List"/>
    <w:rsid w:val="006A504F"/>
    <w:pPr>
      <w:ind w:firstLine="0"/>
    </w:pPr>
  </w:style>
  <w:style w:type="paragraph" w:customStyle="1" w:styleId="ListNote">
    <w:name w:val="List Note"/>
    <w:basedOn w:val="List"/>
    <w:rsid w:val="006A5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04F"/>
    <w:rPr>
      <w:rFonts w:ascii="Courier New" w:hAnsi="Courier New"/>
    </w:rPr>
  </w:style>
  <w:style w:type="paragraph" w:customStyle="1" w:styleId="NoteBullet">
    <w:name w:val="Note Bullet"/>
    <w:basedOn w:val="Note"/>
    <w:rsid w:val="006A5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0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04F"/>
    <w:rPr>
      <w:b/>
      <w:smallCaps/>
    </w:rPr>
  </w:style>
  <w:style w:type="paragraph" w:customStyle="1" w:styleId="TableListNumber">
    <w:name w:val="Table List Number"/>
    <w:basedOn w:val="ListNumber"/>
    <w:rsid w:val="006A5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04F"/>
    <w:pPr>
      <w:numPr>
        <w:numId w:val="9"/>
      </w:numPr>
    </w:pPr>
  </w:style>
  <w:style w:type="paragraph" w:customStyle="1" w:styleId="ListAlpha2">
    <w:name w:val="List Alpha 2"/>
    <w:basedOn w:val="List2"/>
    <w:rsid w:val="006A504F"/>
    <w:pPr>
      <w:numPr>
        <w:numId w:val="8"/>
      </w:numPr>
    </w:pPr>
  </w:style>
  <w:style w:type="paragraph" w:styleId="List2">
    <w:name w:val="List 2"/>
    <w:basedOn w:val="BodyText"/>
    <w:rsid w:val="006A5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0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0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04F"/>
    <w:pPr>
      <w:numPr>
        <w:numId w:val="4"/>
      </w:numPr>
    </w:pPr>
  </w:style>
  <w:style w:type="paragraph" w:styleId="ListContinue2">
    <w:name w:val="List Continue 2"/>
    <w:basedOn w:val="List2"/>
    <w:rsid w:val="006A504F"/>
    <w:pPr>
      <w:ind w:firstLine="0"/>
    </w:pPr>
  </w:style>
  <w:style w:type="paragraph" w:styleId="ListContinue3">
    <w:name w:val="List Continue 3"/>
    <w:basedOn w:val="List3"/>
    <w:rsid w:val="006A504F"/>
    <w:pPr>
      <w:ind w:left="1021" w:firstLine="0"/>
    </w:pPr>
  </w:style>
  <w:style w:type="paragraph" w:styleId="ListContinue4">
    <w:name w:val="List Continue 4"/>
    <w:basedOn w:val="List4"/>
    <w:rsid w:val="006A504F"/>
    <w:pPr>
      <w:ind w:firstLine="0"/>
    </w:pPr>
  </w:style>
  <w:style w:type="paragraph" w:styleId="ListContinue5">
    <w:name w:val="List Continue 5"/>
    <w:basedOn w:val="List5"/>
    <w:rsid w:val="006A504F"/>
    <w:pPr>
      <w:ind w:firstLine="0"/>
    </w:pPr>
  </w:style>
  <w:style w:type="paragraph" w:styleId="ListNumber3">
    <w:name w:val="List Number 3"/>
    <w:basedOn w:val="List3"/>
    <w:rsid w:val="006A504F"/>
    <w:pPr>
      <w:numPr>
        <w:numId w:val="5"/>
      </w:numPr>
    </w:pPr>
  </w:style>
  <w:style w:type="paragraph" w:styleId="ListNumber4">
    <w:name w:val="List Number 4"/>
    <w:basedOn w:val="List4"/>
    <w:rsid w:val="006A504F"/>
    <w:pPr>
      <w:numPr>
        <w:numId w:val="6"/>
      </w:numPr>
    </w:pPr>
  </w:style>
  <w:style w:type="paragraph" w:styleId="ListNumber5">
    <w:name w:val="List Number 5"/>
    <w:basedOn w:val="List5"/>
    <w:rsid w:val="006A504F"/>
    <w:pPr>
      <w:numPr>
        <w:numId w:val="7"/>
      </w:numPr>
    </w:pPr>
  </w:style>
  <w:style w:type="paragraph" w:styleId="BlockText">
    <w:name w:val="Block Text"/>
    <w:basedOn w:val="Normal"/>
    <w:rsid w:val="006A5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04F"/>
    <w:rPr>
      <w:sz w:val="16"/>
      <w:vertAlign w:val="superscript"/>
    </w:rPr>
  </w:style>
  <w:style w:type="character" w:customStyle="1" w:styleId="Symbols">
    <w:name w:val="Symbols"/>
    <w:basedOn w:val="DefaultParagraphFont"/>
    <w:rsid w:val="006A504F"/>
    <w:rPr>
      <w:rFonts w:ascii="Symbol" w:hAnsi="Symbol"/>
    </w:rPr>
  </w:style>
  <w:style w:type="character" w:customStyle="1" w:styleId="MenuOptions">
    <w:name w:val="Menu Options"/>
    <w:basedOn w:val="DefaultParagraphFont"/>
    <w:rsid w:val="006A5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04F"/>
    <w:rPr>
      <w:b/>
    </w:rPr>
  </w:style>
  <w:style w:type="character" w:customStyle="1" w:styleId="Underlined">
    <w:name w:val="Underlined"/>
    <w:basedOn w:val="DefaultParagraphFont"/>
    <w:rsid w:val="006A504F"/>
    <w:rPr>
      <w:u w:val="single"/>
    </w:rPr>
  </w:style>
  <w:style w:type="paragraph" w:customStyle="1" w:styleId="TableBodyTextRight">
    <w:name w:val="Table Body Text Right"/>
    <w:basedOn w:val="TableBodyText"/>
    <w:rsid w:val="006A5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04F"/>
    <w:rPr>
      <w:sz w:val="18"/>
    </w:rPr>
  </w:style>
  <w:style w:type="paragraph" w:customStyle="1" w:styleId="BodySmallRight">
    <w:name w:val="Body Small Right"/>
    <w:basedOn w:val="BodyTextRight"/>
    <w:rsid w:val="006A504F"/>
    <w:rPr>
      <w:sz w:val="18"/>
      <w:szCs w:val="18"/>
    </w:rPr>
  </w:style>
  <w:style w:type="paragraph" w:customStyle="1" w:styleId="MarginEdition">
    <w:name w:val="Margin Edition"/>
    <w:basedOn w:val="MarginNote"/>
    <w:rsid w:val="006A5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04F"/>
    <w:rPr>
      <w:sz w:val="2"/>
      <w:szCs w:val="2"/>
    </w:rPr>
  </w:style>
  <w:style w:type="character" w:customStyle="1" w:styleId="Small">
    <w:name w:val="Small"/>
    <w:basedOn w:val="DefaultParagraphFont"/>
    <w:rsid w:val="006A504F"/>
    <w:rPr>
      <w:sz w:val="16"/>
    </w:rPr>
  </w:style>
  <w:style w:type="paragraph" w:customStyle="1" w:styleId="WideTable">
    <w:name w:val="Wide Table"/>
    <w:basedOn w:val="Normal"/>
    <w:rsid w:val="006A5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04F"/>
  </w:style>
  <w:style w:type="paragraph" w:styleId="Quote">
    <w:name w:val="Quote"/>
    <w:basedOn w:val="Heading1"/>
    <w:link w:val="QuoteChar"/>
    <w:qFormat/>
    <w:rsid w:val="006A5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04F"/>
    <w:pPr>
      <w:pageBreakBefore/>
    </w:pPr>
  </w:style>
  <w:style w:type="paragraph" w:customStyle="1" w:styleId="Border">
    <w:name w:val="Border"/>
    <w:basedOn w:val="Normal"/>
    <w:qFormat/>
    <w:rsid w:val="006A5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04F"/>
    <w:rPr>
      <w:u w:val="single"/>
    </w:rPr>
  </w:style>
  <w:style w:type="character" w:customStyle="1" w:styleId="BoldandItalics">
    <w:name w:val="Bold and Italics"/>
    <w:qFormat/>
    <w:rsid w:val="006A504F"/>
    <w:rPr>
      <w:b/>
      <w:i/>
      <w:u w:val="none"/>
    </w:rPr>
  </w:style>
  <w:style w:type="paragraph" w:styleId="BalloonText">
    <w:name w:val="Balloon Text"/>
    <w:basedOn w:val="Normal"/>
    <w:link w:val="BalloonTextChar"/>
    <w:rsid w:val="006A5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0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0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3730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ACMEXH304 Assist with capturing, restraining and moving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