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E76D0A" w:rsidP="00E76D0A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ACMEQU507 Work within an equine allied health provider framework</w:t>
      </w:r>
      <w:r>
        <w:fldChar w:fldCharType="end"/>
      </w:r>
    </w:p>
    <w:p w:rsidR="00E76D0A" w:rsidP="00E76D0A">
      <w:pPr>
        <w:pStyle w:val="Version"/>
        <w:sectPr w:rsidSect="000E0FD9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0E0FD9" w:rsidP="000E0FD9">
      <w:pPr>
        <w:pStyle w:val="SuperHeading"/>
      </w:pPr>
      <w:r w:rsidRPr="000E0FD9">
        <w:t>ACMEQU507 Work within an equine allied health provider framework</w:t>
      </w:r>
    </w:p>
    <w:p w:rsidR="00000000" w:rsidRPr="000E0FD9" w:rsidP="000E0FD9">
      <w:pPr>
        <w:pStyle w:val="Heading1"/>
      </w:pPr>
      <w:bookmarkStart w:id="1" w:name="O_1213495"/>
      <w:bookmarkEnd w:id="1"/>
      <w:r w:rsidRPr="000E0FD9">
        <w:t>Modification History</w:t>
      </w:r>
    </w:p>
    <w:tbl>
      <w:tblPr>
        <w:tblW w:w="9520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580"/>
        <w:gridCol w:w="6940"/>
      </w:tblGrid>
      <w:tr w:rsidTr="000E0FD9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E0FD9">
            <w:pPr>
              <w:pStyle w:val="BodyTextBold"/>
              <w:rPr>
                <w:lang w:val="en-NZ"/>
              </w:rPr>
            </w:pPr>
            <w:r w:rsidRPr="000E0FD9">
              <w:t>Release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E0FD9">
            <w:pPr>
              <w:pStyle w:val="BodyTextBold"/>
              <w:rPr>
                <w:lang w:val="en-NZ"/>
              </w:rPr>
            </w:pPr>
            <w:r w:rsidRPr="000E0FD9">
              <w:t>Comments</w:t>
            </w:r>
          </w:p>
        </w:tc>
      </w:tr>
      <w:tr w:rsidTr="000E0FD9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E0FD9">
            <w:pPr>
              <w:pStyle w:val="BodyText"/>
              <w:rPr>
                <w:lang w:val="en-NZ"/>
              </w:rPr>
            </w:pPr>
            <w:r w:rsidRPr="000E0FD9">
              <w:t>Release 1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0E0FD9" w:rsidP="000E0FD9">
            <w:pPr>
              <w:pStyle w:val="BodyText"/>
            </w:pPr>
            <w:r w:rsidRPr="000E0FD9">
              <w:t>This version released with ACM Animal Care and Management Training Package Version 5.0.</w:t>
            </w:r>
          </w:p>
        </w:tc>
      </w:tr>
    </w:tbl>
    <w:p w:rsidR="00000000" w:rsidRPr="000E0FD9" w:rsidP="000E0FD9">
      <w:pPr>
        <w:pStyle w:val="BodyText"/>
      </w:pPr>
    </w:p>
    <w:p w:rsidR="00000000" w:rsidRPr="000E0FD9" w:rsidP="000E0FD9">
      <w:pPr>
        <w:pStyle w:val="AllowPageBreak"/>
      </w:pPr>
    </w:p>
    <w:p w:rsidR="00000000" w:rsidRPr="000E0FD9" w:rsidP="000E0FD9">
      <w:pPr>
        <w:pStyle w:val="Heading1"/>
      </w:pPr>
      <w:bookmarkStart w:id="2" w:name="O_1213496"/>
      <w:bookmarkEnd w:id="2"/>
      <w:r w:rsidRPr="000E0FD9">
        <w:t>Application</w:t>
      </w:r>
    </w:p>
    <w:p w:rsidR="00000000" w:rsidRPr="000E0FD9" w:rsidP="00E76D0A">
      <w:pPr>
        <w:pStyle w:val="BodyText"/>
      </w:pPr>
      <w:r w:rsidRPr="000E0FD9">
        <w:t>This unit of competency describes the skills and knowledge required to work professionally as an equine allied health service provider. It covers knowledge of relevant state/territory regulations and scope of practice requirements, developing industry netw</w:t>
      </w:r>
      <w:r w:rsidRPr="000E0FD9">
        <w:t>orks, providing and promoting services to clients, establishing and maintaining accurate records and maintaining industry knowledge and currency.</w:t>
      </w:r>
    </w:p>
    <w:p w:rsidR="00000000" w:rsidRPr="000E0FD9" w:rsidP="00E76D0A">
      <w:pPr>
        <w:pStyle w:val="BodyText"/>
      </w:pPr>
      <w:r w:rsidRPr="000E0FD9">
        <w:t>The unit applies to practitioners who provide an allied health service for horses and other equines. They work</w:t>
      </w:r>
      <w:r w:rsidRPr="000E0FD9">
        <w:t xml:space="preserve"> autonomously and apply in-depth technical knowledge and skills to provide and communicate solutions for predictable and unpredictable problems within their scope of professional practice.</w:t>
      </w:r>
    </w:p>
    <w:p w:rsidR="00000000" w:rsidRPr="000E0FD9" w:rsidP="00E76D0A">
      <w:pPr>
        <w:pStyle w:val="BodyText"/>
      </w:pPr>
      <w:r w:rsidRPr="000E0FD9">
        <w:t>Commonwealth and state/territory health and safety and animal welfa</w:t>
      </w:r>
      <w:r w:rsidRPr="000E0FD9">
        <w:t>re legislation, regulations and codes of practice relevant to interacting with horses apply to workers in this industry. Requirements vary between industry sectors and jurisdictions.</w:t>
      </w:r>
    </w:p>
    <w:p w:rsidR="00000000" w:rsidRPr="000E0FD9" w:rsidP="00E76D0A">
      <w:pPr>
        <w:pStyle w:val="BodyText"/>
      </w:pPr>
      <w:r w:rsidRPr="000E0FD9">
        <w:t>No licensing, legislative or certification requirements apply to this uni</w:t>
      </w:r>
      <w:r w:rsidRPr="000E0FD9">
        <w:t>t at the time of publication.</w:t>
      </w:r>
    </w:p>
    <w:p w:rsidR="00000000" w:rsidRPr="000E0FD9" w:rsidP="000E0FD9">
      <w:pPr>
        <w:pStyle w:val="Heading1"/>
      </w:pPr>
      <w:bookmarkStart w:id="3" w:name="O_1213497"/>
      <w:bookmarkEnd w:id="3"/>
      <w:r w:rsidRPr="000E0FD9">
        <w:t>Pre-requisite Unit</w:t>
      </w:r>
    </w:p>
    <w:p w:rsidR="00000000" w:rsidRPr="000E0FD9" w:rsidP="00E76D0A">
      <w:pPr>
        <w:pStyle w:val="BodyText"/>
      </w:pPr>
      <w:r w:rsidRPr="000E0FD9">
        <w:t>Nil</w:t>
      </w:r>
    </w:p>
    <w:p w:rsidR="00000000" w:rsidRPr="000E0FD9" w:rsidP="000E0FD9">
      <w:pPr>
        <w:pStyle w:val="Heading1"/>
      </w:pPr>
      <w:bookmarkStart w:id="4" w:name="O_1213499"/>
      <w:bookmarkEnd w:id="4"/>
      <w:r w:rsidRPr="000E0FD9">
        <w:t>Unit Sector</w:t>
      </w:r>
    </w:p>
    <w:p w:rsidR="00000000" w:rsidRPr="000E0FD9" w:rsidP="00E76D0A">
      <w:pPr>
        <w:pStyle w:val="BodyText"/>
      </w:pPr>
      <w:r w:rsidRPr="000E0FD9">
        <w:t>Equine (EQU)</w:t>
      </w:r>
    </w:p>
    <w:p w:rsidR="00000000" w:rsidRPr="000E0FD9" w:rsidP="000E0FD9">
      <w:pPr>
        <w:pStyle w:val="Heading1"/>
      </w:pPr>
      <w:bookmarkStart w:id="5" w:name="O_1213500"/>
      <w:bookmarkEnd w:id="5"/>
      <w:r w:rsidRPr="000E0FD9">
        <w:t>Elements and Performance Criteria</w:t>
      </w:r>
    </w:p>
    <w:tbl>
      <w:tblPr>
        <w:tblW w:w="9520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580"/>
        <w:gridCol w:w="6940"/>
      </w:tblGrid>
      <w:tr w:rsidTr="00E76D0A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C0C0C0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E0FD9">
            <w:pPr>
              <w:pStyle w:val="BodyTextBold"/>
              <w:rPr>
                <w:lang w:val="en-NZ"/>
              </w:rPr>
            </w:pPr>
            <w:r w:rsidRPr="000E0FD9">
              <w:t>Elements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C0C0C0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E0FD9">
            <w:pPr>
              <w:pStyle w:val="BodyTextBold"/>
              <w:rPr>
                <w:lang w:val="en-NZ"/>
              </w:rPr>
            </w:pPr>
            <w:r w:rsidRPr="000E0FD9">
              <w:t>Performance Criteria</w:t>
            </w:r>
          </w:p>
        </w:tc>
      </w:tr>
      <w:tr w:rsidTr="00E76D0A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2580" w:type="dxa"/>
            <w:tcBorders>
              <w:top w:val="single" w:sz="4" w:space="0" w:color="C0C0C0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0E0FD9" w:rsidP="000E0FD9">
            <w:pPr>
              <w:pStyle w:val="BodyText"/>
            </w:pPr>
            <w:r w:rsidRPr="000E0FD9">
              <w:rPr>
                <w:rStyle w:val="Emphasis"/>
              </w:rPr>
              <w:t>Elements describe the essential outcomes.</w:t>
            </w:r>
          </w:p>
        </w:tc>
        <w:tc>
          <w:tcPr>
            <w:tcW w:w="6940" w:type="dxa"/>
            <w:tcBorders>
              <w:top w:val="single" w:sz="4" w:space="0" w:color="C0C0C0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E0FD9">
            <w:pPr>
              <w:pStyle w:val="BodyText"/>
              <w:rPr>
                <w:lang w:val="en-NZ"/>
              </w:rPr>
            </w:pPr>
            <w:r w:rsidRPr="000E0FD9">
              <w:rPr>
                <w:rStyle w:val="Emphasis"/>
              </w:rPr>
              <w:t>Performance criteria describe the performance needed to demonstrate achievement of the element.</w:t>
            </w:r>
          </w:p>
        </w:tc>
      </w:tr>
      <w:tr w:rsidTr="00E76D0A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0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E0FD9">
            <w:pPr>
              <w:pStyle w:val="BodyText"/>
              <w:rPr>
                <w:lang w:val="en-NZ"/>
              </w:rPr>
            </w:pPr>
            <w:r w:rsidRPr="000E0FD9">
              <w:t>1. Investigate compliance requirements relating to equine allied health service provision</w:t>
            </w:r>
          </w:p>
        </w:tc>
        <w:tc>
          <w:tcPr>
            <w:tcW w:w="6940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0E0FD9" w:rsidP="000E0FD9">
            <w:pPr>
              <w:pStyle w:val="BodyText"/>
            </w:pPr>
            <w:r w:rsidRPr="000E0FD9">
              <w:t>1.1 Identify requirements relating to equine allied health service pr</w:t>
            </w:r>
            <w:r w:rsidRPr="000E0FD9">
              <w:t xml:space="preserve">actitioner scope of practice, including relevant veterinary practice, and pharmacy, poisons/restricted and controlled substances legislation </w:t>
            </w:r>
          </w:p>
          <w:p w:rsidR="00000000" w:rsidRPr="000E0FD9" w:rsidP="000E0FD9">
            <w:pPr>
              <w:pStyle w:val="BodyText"/>
            </w:pPr>
            <w:r w:rsidRPr="000E0FD9">
              <w:t xml:space="preserve">1.2 Identify and comply with legislative and code of practice requirements relating to animal welfare, health and </w:t>
            </w:r>
            <w:r w:rsidRPr="000E0FD9">
              <w:t>safety and environmental sustainability relevant to conducting equine services</w:t>
            </w:r>
          </w:p>
          <w:p w:rsidR="00000000" w:rsidP="000E0FD9">
            <w:pPr>
              <w:pStyle w:val="BodyText"/>
              <w:rPr>
                <w:lang w:val="en-NZ"/>
              </w:rPr>
            </w:pPr>
            <w:r w:rsidRPr="000E0FD9">
              <w:t>1.3 Investigate and establish legal, insurance and business requirements relevant to equine allied health service provision</w:t>
            </w:r>
          </w:p>
        </w:tc>
      </w:tr>
      <w:tr w:rsidTr="00E76D0A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0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E0FD9">
            <w:pPr>
              <w:pStyle w:val="BodyText"/>
              <w:rPr>
                <w:lang w:val="en-NZ"/>
              </w:rPr>
            </w:pPr>
            <w:r w:rsidRPr="000E0FD9">
              <w:t>2. Develop an industry network</w:t>
            </w:r>
          </w:p>
        </w:tc>
        <w:tc>
          <w:tcPr>
            <w:tcW w:w="6940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0E0FD9" w:rsidP="000E0FD9">
            <w:pPr>
              <w:pStyle w:val="BodyText"/>
            </w:pPr>
            <w:r w:rsidRPr="000E0FD9">
              <w:t>2.1 Identify equine industry health service providers and evaluate options for equine health care</w:t>
            </w:r>
          </w:p>
          <w:p w:rsidR="00000000" w:rsidP="000E0FD9">
            <w:pPr>
              <w:pStyle w:val="BodyText"/>
              <w:rPr>
                <w:lang w:val="en-NZ"/>
              </w:rPr>
            </w:pPr>
            <w:r w:rsidRPr="000E0FD9">
              <w:t>2.2 Establish a network of registered veterinarians and other appropriate equine service providers for referrals, sharing of information, collaboration and co</w:t>
            </w:r>
            <w:r w:rsidRPr="000E0FD9">
              <w:t>nsultation</w:t>
            </w:r>
          </w:p>
        </w:tc>
      </w:tr>
      <w:tr w:rsidTr="00E76D0A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0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E0FD9">
            <w:pPr>
              <w:pStyle w:val="BodyText"/>
              <w:rPr>
                <w:lang w:val="en-NZ"/>
              </w:rPr>
            </w:pPr>
            <w:r w:rsidRPr="000E0FD9">
              <w:t>3. Provide and promote equine allied health service</w:t>
            </w:r>
          </w:p>
        </w:tc>
        <w:tc>
          <w:tcPr>
            <w:tcW w:w="6940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0E0FD9" w:rsidP="000E0FD9">
            <w:pPr>
              <w:pStyle w:val="BodyText"/>
            </w:pPr>
            <w:r w:rsidRPr="000E0FD9">
              <w:t>3.1 Promote importance of regular equine health care and services available to equine clients</w:t>
            </w:r>
          </w:p>
          <w:p w:rsidR="00000000" w:rsidRPr="000E0FD9" w:rsidP="000E0FD9">
            <w:pPr>
              <w:pStyle w:val="BodyText"/>
            </w:pPr>
            <w:r w:rsidRPr="000E0FD9">
              <w:t>3.2 Explain services in area of expertise, including scope of practice, qualifications and experie</w:t>
            </w:r>
            <w:r w:rsidRPr="000E0FD9">
              <w:t>nce, to equine clients</w:t>
            </w:r>
          </w:p>
          <w:p w:rsidR="00000000" w:rsidRPr="000E0FD9" w:rsidP="000E0FD9">
            <w:pPr>
              <w:pStyle w:val="BodyText"/>
            </w:pPr>
            <w:r w:rsidRPr="000E0FD9">
              <w:t xml:space="preserve">3.3 Establish client base and record information </w:t>
            </w:r>
          </w:p>
          <w:p w:rsidR="00000000" w:rsidP="000E0FD9">
            <w:pPr>
              <w:pStyle w:val="BodyText"/>
              <w:rPr>
                <w:lang w:val="en-NZ"/>
              </w:rPr>
            </w:pPr>
            <w:r w:rsidRPr="000E0FD9">
              <w:t xml:space="preserve">3.4 Determine client expectations and monitor and evaluate service provision against client expectations and satisfaction </w:t>
            </w:r>
          </w:p>
        </w:tc>
      </w:tr>
      <w:tr w:rsidTr="00E76D0A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0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E0FD9">
            <w:pPr>
              <w:pStyle w:val="BodyText"/>
              <w:rPr>
                <w:lang w:val="en-NZ"/>
              </w:rPr>
            </w:pPr>
            <w:r w:rsidRPr="000E0FD9">
              <w:t>4. Establish and maintain client and equine records</w:t>
            </w:r>
          </w:p>
        </w:tc>
        <w:tc>
          <w:tcPr>
            <w:tcW w:w="6940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0E0FD9" w:rsidP="000E0FD9">
            <w:pPr>
              <w:pStyle w:val="BodyText"/>
            </w:pPr>
            <w:r w:rsidRPr="000E0FD9">
              <w:t>4.1 Dev</w:t>
            </w:r>
            <w:r w:rsidRPr="000E0FD9">
              <w:t>ise and implement record-keeping system for managing client information</w:t>
            </w:r>
          </w:p>
          <w:p w:rsidR="00000000" w:rsidRPr="000E0FD9" w:rsidP="000E0FD9">
            <w:pPr>
              <w:pStyle w:val="BodyText"/>
            </w:pPr>
            <w:r w:rsidRPr="000E0FD9">
              <w:t xml:space="preserve">4.2 Select charts and accurately record and interpret equine information relevant to service provision </w:t>
            </w:r>
          </w:p>
          <w:p w:rsidR="00000000" w:rsidP="000E0FD9">
            <w:pPr>
              <w:pStyle w:val="BodyText"/>
              <w:rPr>
                <w:lang w:val="en-NZ"/>
              </w:rPr>
            </w:pPr>
            <w:r w:rsidRPr="000E0FD9">
              <w:t>4.3 Maintain administration and financial records for business management purpos</w:t>
            </w:r>
            <w:r w:rsidRPr="000E0FD9">
              <w:t>es</w:t>
            </w:r>
          </w:p>
        </w:tc>
      </w:tr>
      <w:tr w:rsidTr="00E76D0A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0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E0FD9">
            <w:pPr>
              <w:pStyle w:val="BodyText"/>
              <w:rPr>
                <w:lang w:val="en-NZ"/>
              </w:rPr>
            </w:pPr>
            <w:r w:rsidRPr="000E0FD9">
              <w:t>5. Maintain equine allied health industry knowledge and currency</w:t>
            </w:r>
          </w:p>
        </w:tc>
        <w:tc>
          <w:tcPr>
            <w:tcW w:w="6940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0E0FD9" w:rsidP="000E0FD9">
            <w:pPr>
              <w:pStyle w:val="BodyText"/>
            </w:pPr>
            <w:r w:rsidRPr="000E0FD9">
              <w:t xml:space="preserve">5.1 Investigate and maintain knowledge of current industry trends, techniques and technologies relevant to area of equine allied health expertise </w:t>
            </w:r>
          </w:p>
          <w:p w:rsidR="00000000" w:rsidRPr="000E0FD9" w:rsidP="000E0FD9">
            <w:pPr>
              <w:pStyle w:val="BodyText"/>
            </w:pPr>
            <w:r w:rsidRPr="000E0FD9">
              <w:t>5.2 Identify opportunities to further de</w:t>
            </w:r>
            <w:r w:rsidRPr="000E0FD9">
              <w:t>velop own skills and knowledge in area of equine allied health expertise</w:t>
            </w:r>
          </w:p>
        </w:tc>
      </w:tr>
    </w:tbl>
    <w:p w:rsidR="00000000" w:rsidRPr="000E0FD9" w:rsidP="000E0FD9">
      <w:pPr>
        <w:pStyle w:val="BodyText"/>
      </w:pPr>
    </w:p>
    <w:p w:rsidR="00000000" w:rsidRPr="000E0FD9" w:rsidP="000E0FD9">
      <w:pPr>
        <w:pStyle w:val="AllowPageBreak"/>
      </w:pPr>
    </w:p>
    <w:p w:rsidR="00000000" w:rsidRPr="000E0FD9" w:rsidP="000E0FD9">
      <w:pPr>
        <w:pStyle w:val="Heading1"/>
      </w:pPr>
      <w:bookmarkStart w:id="6" w:name="O_1213501"/>
      <w:bookmarkEnd w:id="6"/>
      <w:r w:rsidRPr="000E0FD9">
        <w:t>Foundation Skills</w:t>
      </w:r>
    </w:p>
    <w:p w:rsidR="00000000" w:rsidRPr="00E76D0A" w:rsidP="00E76D0A">
      <w:pPr>
        <w:pStyle w:val="BodyText"/>
        <w:rPr>
          <w:i/>
        </w:rPr>
      </w:pPr>
      <w:r w:rsidRPr="00E76D0A">
        <w:rPr>
          <w:rStyle w:val="Emphasis"/>
        </w:rPr>
        <w:t xml:space="preserve">This section describes those language, literacy, numeracy and employment skills that are essential for performance in this unit of competency </w:t>
      </w:r>
      <w:r w:rsidRPr="00E76D0A">
        <w:rPr>
          <w:rStyle w:val="Emphasis"/>
        </w:rPr>
        <w:t>but are not explicit in the performance criteria.</w:t>
      </w:r>
    </w:p>
    <w:tbl>
      <w:tblPr>
        <w:tblW w:w="9520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580"/>
        <w:gridCol w:w="6940"/>
      </w:tblGrid>
      <w:tr w:rsidTr="000E0FD9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E0FD9">
            <w:pPr>
              <w:pStyle w:val="BodyTextBold"/>
              <w:rPr>
                <w:lang w:val="en-NZ"/>
              </w:rPr>
            </w:pPr>
            <w:r w:rsidRPr="000E0FD9">
              <w:t>Skill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E0FD9">
            <w:pPr>
              <w:pStyle w:val="BodyTextBold"/>
              <w:rPr>
                <w:lang w:val="en-NZ"/>
              </w:rPr>
            </w:pPr>
            <w:r w:rsidRPr="000E0FD9">
              <w:t>Description</w:t>
            </w:r>
          </w:p>
        </w:tc>
      </w:tr>
      <w:tr w:rsidTr="000E0FD9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E0FD9">
            <w:pPr>
              <w:pStyle w:val="BodyText"/>
              <w:rPr>
                <w:lang w:val="en-NZ"/>
              </w:rPr>
            </w:pPr>
            <w:r w:rsidRPr="000E0FD9">
              <w:t>Learning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E0FD9">
            <w:pPr>
              <w:pStyle w:val="ListBullet"/>
              <w:rPr>
                <w:lang w:val="en-NZ"/>
              </w:rPr>
            </w:pPr>
            <w:r w:rsidRPr="000E0FD9">
              <w:t>Undertake independent research to inform development of own skills and knowledge</w:t>
            </w:r>
          </w:p>
        </w:tc>
      </w:tr>
      <w:tr w:rsidTr="000E0FD9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0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E0FD9">
            <w:pPr>
              <w:pStyle w:val="BodyText"/>
              <w:rPr>
                <w:lang w:val="en-NZ"/>
              </w:rPr>
            </w:pPr>
            <w:r w:rsidRPr="000E0FD9">
              <w:t>Reading</w:t>
            </w:r>
          </w:p>
        </w:tc>
        <w:tc>
          <w:tcPr>
            <w:tcW w:w="6940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E0FD9">
            <w:pPr>
              <w:pStyle w:val="ListBullet"/>
              <w:rPr>
                <w:lang w:val="en-NZ"/>
              </w:rPr>
            </w:pPr>
            <w:r w:rsidRPr="000E0FD9">
              <w:t>Interpret information in technical texts relating to legal, insurance and business req</w:t>
            </w:r>
            <w:r w:rsidRPr="000E0FD9">
              <w:t>uirements</w:t>
            </w:r>
          </w:p>
        </w:tc>
      </w:tr>
      <w:tr w:rsidTr="000E0FD9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0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E0FD9">
            <w:pPr>
              <w:pStyle w:val="BodyText"/>
              <w:rPr>
                <w:lang w:val="en-NZ"/>
              </w:rPr>
            </w:pPr>
            <w:r w:rsidRPr="000E0FD9">
              <w:t>Writing</w:t>
            </w:r>
          </w:p>
        </w:tc>
        <w:tc>
          <w:tcPr>
            <w:tcW w:w="6940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0E0FD9" w:rsidP="000E0FD9">
            <w:pPr>
              <w:pStyle w:val="ListBullet"/>
            </w:pPr>
            <w:r w:rsidRPr="000E0FD9">
              <w:t xml:space="preserve">Use objective language and current industry terminology in written records </w:t>
            </w:r>
          </w:p>
          <w:p w:rsidR="00000000" w:rsidP="000E0FD9">
            <w:pPr>
              <w:pStyle w:val="ListBullet"/>
              <w:rPr>
                <w:lang w:val="en-NZ"/>
              </w:rPr>
            </w:pPr>
            <w:r w:rsidRPr="000E0FD9">
              <w:t>Complete workplace documentation using print-based and/or digital formats</w:t>
            </w:r>
          </w:p>
        </w:tc>
      </w:tr>
      <w:tr w:rsidTr="000E0FD9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0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E0FD9">
            <w:pPr>
              <w:pStyle w:val="BodyText"/>
              <w:rPr>
                <w:lang w:val="en-NZ"/>
              </w:rPr>
            </w:pPr>
            <w:r w:rsidRPr="000E0FD9">
              <w:t>Oral communication</w:t>
            </w:r>
          </w:p>
        </w:tc>
        <w:tc>
          <w:tcPr>
            <w:tcW w:w="6940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0E0FD9" w:rsidP="000E0FD9">
            <w:pPr>
              <w:pStyle w:val="ListBullet"/>
            </w:pPr>
            <w:r w:rsidRPr="000E0FD9">
              <w:t>Use questioning and active listening to elicit and convey informa</w:t>
            </w:r>
            <w:r w:rsidRPr="000E0FD9">
              <w:t xml:space="preserve">tion appropriate for audience </w:t>
            </w:r>
          </w:p>
        </w:tc>
      </w:tr>
    </w:tbl>
    <w:p w:rsidR="00000000" w:rsidRPr="000E0FD9" w:rsidP="000E0FD9">
      <w:pPr>
        <w:pStyle w:val="BodyText"/>
      </w:pPr>
    </w:p>
    <w:p w:rsidR="00000000" w:rsidRPr="000E0FD9" w:rsidP="000E0FD9">
      <w:pPr>
        <w:pStyle w:val="AllowPageBreak"/>
      </w:pPr>
    </w:p>
    <w:p w:rsidR="00000000" w:rsidRPr="000E0FD9" w:rsidP="000E0FD9">
      <w:pPr>
        <w:pStyle w:val="Heading1"/>
      </w:pPr>
      <w:bookmarkStart w:id="7" w:name="O_1213503"/>
      <w:bookmarkEnd w:id="7"/>
      <w:r w:rsidRPr="000E0FD9">
        <w:t>Unit Mapping Information</w:t>
      </w:r>
    </w:p>
    <w:tbl>
      <w:tblPr>
        <w:tblW w:w="9520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268"/>
        <w:gridCol w:w="2268"/>
        <w:gridCol w:w="2716"/>
        <w:gridCol w:w="2268"/>
      </w:tblGrid>
      <w:tr w:rsidTr="000E0FD9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E0FD9">
            <w:pPr>
              <w:pStyle w:val="BodyTextBold"/>
              <w:rPr>
                <w:lang w:val="en-NZ"/>
              </w:rPr>
            </w:pPr>
            <w:r w:rsidRPr="000E0FD9">
              <w:t>Code and title current version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E0FD9">
            <w:pPr>
              <w:pStyle w:val="BodyTextBold"/>
              <w:rPr>
                <w:lang w:val="en-NZ"/>
              </w:rPr>
            </w:pPr>
            <w:r w:rsidRPr="000E0FD9">
              <w:t>Code and title previous version</w:t>
            </w:r>
          </w:p>
        </w:tc>
        <w:tc>
          <w:tcPr>
            <w:tcW w:w="27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E0FD9">
            <w:pPr>
              <w:pStyle w:val="BodyTextBold"/>
              <w:rPr>
                <w:lang w:val="en-NZ"/>
              </w:rPr>
            </w:pPr>
            <w:r w:rsidRPr="000E0FD9">
              <w:t>Comments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E0FD9">
            <w:pPr>
              <w:pStyle w:val="BodyTextBold"/>
              <w:rPr>
                <w:lang w:val="en-NZ"/>
              </w:rPr>
            </w:pPr>
            <w:r w:rsidRPr="000E0FD9">
              <w:t>Equivalence status</w:t>
            </w:r>
          </w:p>
        </w:tc>
      </w:tr>
      <w:tr w:rsidTr="000E0FD9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268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E0FD9">
            <w:pPr>
              <w:pStyle w:val="BodyText"/>
              <w:rPr>
                <w:lang w:val="en-NZ"/>
              </w:rPr>
            </w:pPr>
            <w:r w:rsidRPr="000E0FD9">
              <w:t>ACMEQU507 Work within an equine allied health provider framework</w:t>
            </w:r>
          </w:p>
        </w:tc>
        <w:tc>
          <w:tcPr>
            <w:tcW w:w="2268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E0FD9">
            <w:pPr>
              <w:pStyle w:val="BodyText"/>
              <w:rPr>
                <w:lang w:val="en-NZ"/>
              </w:rPr>
            </w:pPr>
            <w:r w:rsidRPr="000E0FD9">
              <w:t>ACMEQD401 Work within an equine dental service provision framework</w:t>
            </w:r>
          </w:p>
        </w:tc>
        <w:tc>
          <w:tcPr>
            <w:tcW w:w="2716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0E0FD9" w:rsidP="000E0FD9">
            <w:pPr>
              <w:pStyle w:val="BodyText"/>
            </w:pPr>
            <w:r w:rsidRPr="000E0FD9">
              <w:t>Title changed</w:t>
            </w:r>
          </w:p>
          <w:p w:rsidR="00000000" w:rsidRPr="000E0FD9" w:rsidP="000E0FD9">
            <w:pPr>
              <w:pStyle w:val="BodyText"/>
            </w:pPr>
            <w:r w:rsidRPr="000E0FD9">
              <w:t xml:space="preserve">Code changed to reflect updated EQU sector and AQF level indicator changed from 4 to 5 to reflect revised unit outcomes </w:t>
            </w:r>
          </w:p>
          <w:p w:rsidR="00000000" w:rsidP="000E0FD9">
            <w:pPr>
              <w:pStyle w:val="BodyText"/>
              <w:rPr>
                <w:lang w:val="en-NZ"/>
              </w:rPr>
            </w:pPr>
            <w:r w:rsidRPr="000E0FD9">
              <w:t>Redesigned unit with changes to Elements and Performan</w:t>
            </w:r>
            <w:r w:rsidRPr="000E0FD9">
              <w:t>ce Criteria to reflect broader coverage of unit</w:t>
            </w:r>
          </w:p>
        </w:tc>
        <w:tc>
          <w:tcPr>
            <w:tcW w:w="2268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0E0FD9" w:rsidP="000E0FD9">
            <w:pPr>
              <w:pStyle w:val="BodyText"/>
            </w:pPr>
            <w:r w:rsidRPr="000E0FD9">
              <w:t>Not equivalent</w:t>
            </w:r>
          </w:p>
        </w:tc>
      </w:tr>
    </w:tbl>
    <w:p w:rsidR="00000000" w:rsidRPr="000E0FD9" w:rsidP="000E0FD9">
      <w:pPr>
        <w:pStyle w:val="BodyText"/>
      </w:pPr>
    </w:p>
    <w:p w:rsidR="00000000" w:rsidRPr="000E0FD9" w:rsidP="000E0FD9">
      <w:pPr>
        <w:pStyle w:val="AllowPageBreak"/>
      </w:pPr>
    </w:p>
    <w:p w:rsidR="00000000" w:rsidRPr="000E0FD9" w:rsidP="000E0FD9">
      <w:pPr>
        <w:pStyle w:val="Heading1"/>
      </w:pPr>
      <w:bookmarkStart w:id="8" w:name="O_1213510"/>
      <w:bookmarkEnd w:id="8"/>
      <w:r w:rsidRPr="000E0FD9">
        <w:t>Links</w:t>
      </w:r>
    </w:p>
    <w:p w:rsidR="00000000" w:rsidRPr="000E0FD9" w:rsidP="00E76D0A">
      <w:pPr>
        <w:pStyle w:val="BodyText"/>
      </w:pPr>
      <w:r w:rsidRPr="000E0FD9">
        <w:t xml:space="preserve">Companion Volumes, including Implementation Guides, are available at VETNet: - </w:t>
      </w:r>
      <w:r>
        <w:fldChar w:fldCharType="begin"/>
      </w:r>
      <w:r>
        <w:instrText xml:space="preserve"> HYPERLINK "https://vetnet.gov.au/Pages/TrainingDocs.aspx?q=b75f4b23-54c9-4cc9-a5db-d3502d154103" </w:instrText>
      </w:r>
      <w:r>
        <w:fldChar w:fldCharType="separate"/>
      </w:r>
      <w:r w:rsidRPr="005D6C27">
        <w:rPr>
          <w:rStyle w:val="Hyperlink"/>
        </w:rPr>
        <w:t>https://vetnet.gov.au/Pages/TrainingDocs.aspx?q=b75f4b23-54c9-4cc9-a5db-d3502d154103</w:t>
      </w:r>
      <w:r>
        <w:fldChar w:fldCharType="end"/>
      </w:r>
    </w:p>
    <w:p w:rsidR="00000000" w:rsidRPr="000E0FD9" w:rsidP="000E0FD9"/>
    <w:sectPr w:rsidSect="000E0FD9">
      <w:headerReference w:type="default" r:id="rId10"/>
      <w:footerReference w:type="default" r:id="rId11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0E0FD9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0E0FD9" w:rsidRPr="00E76D0A" w:rsidP="00E76D0A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0E0FD9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76D0A" w:rsidP="000E0FD9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4</w:t>
    </w:r>
    <w:r>
      <w:rPr>
        <w:noProof/>
      </w:rPr>
      <w:fldChar w:fldCharType="end"/>
    </w:r>
  </w:p>
  <w:p w:rsidR="00E76D0A" w:rsidP="000E0FD9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2022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Skills Impact</w:t>
    </w:r>
    <w:r>
      <w:fldChar w:fldCharType="end"/>
    </w:r>
  </w:p>
  <w:p w:rsidR="00E76D0A" w:rsidP="000E0FD9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0E0FD9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76D0A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0E0FD9" w:rsidRPr="00E76D0A" w:rsidP="00E76D0A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0E0FD9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76D0A" w:rsidRPr="002D2AF8" w:rsidP="000E0FD9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ACMEQU507 Work within an equine allied health provider framework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16 July 2022</w:t>
    </w:r>
    <w:r>
      <w:fldChar w:fldCharType="end"/>
    </w:r>
  </w:p>
  <w:p w:rsidR="00E76D0A" w:rsidP="000E0FD9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9"/>
    <w:multiLevelType w:val="singleLevel"/>
    <w:tmpl w:val="E8CC7ED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7">
    <w:nsid w:val="FFFFFFFE"/>
    <w:multiLevelType w:val="singleLevel"/>
    <w:tmpl w:val="C1C41A4C"/>
    <w:lvl w:ilvl="0">
      <w:start w:val="0"/>
      <w:numFmt w:val="bullet"/>
      <w:lvlText w:val="*"/>
      <w:lvlJc w:val="left"/>
    </w:lvl>
  </w:abstractNum>
  <w:abstractNum w:abstractNumId="8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9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0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1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2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3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4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6"/>
  </w:num>
  <w:num w:numId="2">
    <w:abstractNumId w:val="4"/>
  </w:num>
  <w:num w:numId="3">
    <w:abstractNumId w:val="3"/>
  </w:num>
  <w:num w:numId="4">
    <w:abstractNumId w:val="2"/>
  </w:num>
  <w:num w:numId="5">
    <w:abstractNumId w:val="1"/>
  </w:num>
  <w:num w:numId="6">
    <w:abstractNumId w:val="0"/>
  </w:num>
  <w:num w:numId="7">
    <w:abstractNumId w:val="13"/>
  </w:num>
  <w:num w:numId="8">
    <w:abstractNumId w:val="10"/>
  </w:num>
  <w:num w:numId="9">
    <w:abstractNumId w:val="14"/>
  </w:num>
  <w:num w:numId="10">
    <w:abstractNumId w:val="8"/>
  </w:num>
  <w:num w:numId="11">
    <w:abstractNumId w:val="11"/>
  </w:num>
  <w:num w:numId="12">
    <w:abstractNumId w:val="9"/>
  </w:num>
  <w:num w:numId="13">
    <w:abstractNumId w:val="5"/>
  </w:num>
  <w:num w:numId="14">
    <w:abstractNumId w:val="12"/>
  </w:num>
  <w:num w:numId="15">
    <w:abstractNumId w:val="7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0E0FD9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0E0FD9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0E0FD9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0E0FD9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0E0FD9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0E0FD9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0E0FD9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0E0FD9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0E0FD9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0E0FD9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0E0FD9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0E0FD9"/>
  </w:style>
  <w:style w:type="character" w:customStyle="1" w:styleId="Heading1Char">
    <w:name w:val="Heading 1 Char"/>
    <w:basedOn w:val="DefaultParagraphFont"/>
    <w:link w:val="Heading1"/>
    <w:rsid w:val="000E0FD9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0E0FD9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0E0FD9"/>
    <w:rPr>
      <w:rFonts w:ascii="Times New Roman" w:eastAsia="Times New Roman" w:hAnsi="Times New Roman" w:cs="Times New Roman"/>
      <w:sz w:val="24"/>
      <w:lang w:eastAsia="en-US"/>
    </w:rPr>
  </w:style>
  <w:style w:type="paragraph" w:styleId="ListBullet">
    <w:name w:val="List Bullet"/>
    <w:basedOn w:val="List"/>
    <w:rsid w:val="000E0FD9"/>
    <w:pPr>
      <w:numPr>
        <w:numId w:val="11"/>
      </w:numPr>
      <w:tabs>
        <w:tab w:val="clear" w:pos="340"/>
      </w:tabs>
      <w:spacing w:before="40" w:after="40"/>
    </w:pPr>
  </w:style>
  <w:style w:type="character" w:styleId="Emphasis">
    <w:name w:val="Emphasis"/>
    <w:basedOn w:val="DefaultParagraphFont"/>
    <w:qFormat/>
    <w:rsid w:val="000E0FD9"/>
    <w:rPr>
      <w:i/>
    </w:rPr>
  </w:style>
  <w:style w:type="paragraph" w:customStyle="1" w:styleId="SuperHeading">
    <w:name w:val="SuperHeading"/>
    <w:basedOn w:val="Normal"/>
    <w:rsid w:val="000E0FD9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0E0FD9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paragraph" w:customStyle="1" w:styleId="BodyTextBold">
    <w:name w:val="Body Text Bold"/>
    <w:basedOn w:val="BodyText"/>
    <w:qFormat/>
    <w:rsid w:val="000E0FD9"/>
    <w:rPr>
      <w:b/>
    </w:rPr>
  </w:style>
  <w:style w:type="character" w:customStyle="1" w:styleId="Heading2Char">
    <w:name w:val="Heading 2 Char"/>
    <w:basedOn w:val="DefaultParagraphFont"/>
    <w:link w:val="Heading2"/>
    <w:rsid w:val="000E0FD9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0E0FD9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0E0FD9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0E0FD9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0E0FD9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0E0FD9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0E0FD9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0E0FD9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0E0FD9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0E0FD9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0E0FD9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0E0FD9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0E0FD9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0E0FD9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0E0FD9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0E0FD9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0E0FD9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0E0FD9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0E0FD9"/>
    <w:pPr>
      <w:tabs>
        <w:tab w:val="left" w:pos="340"/>
      </w:tabs>
      <w:spacing w:before="60" w:after="60"/>
      <w:ind w:left="340" w:hanging="340"/>
    </w:pPr>
  </w:style>
  <w:style w:type="paragraph" w:customStyle="1" w:styleId="Note">
    <w:name w:val="Note"/>
    <w:basedOn w:val="BodyText"/>
    <w:rsid w:val="000E0FD9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character" w:customStyle="1" w:styleId="SpecialBold">
    <w:name w:val="Special Bold"/>
    <w:basedOn w:val="DefaultParagraphFont"/>
    <w:rsid w:val="000E0FD9"/>
    <w:rPr>
      <w:b/>
      <w:spacing w:val="0"/>
    </w:rPr>
  </w:style>
  <w:style w:type="paragraph" w:customStyle="1" w:styleId="SuperTitle">
    <w:name w:val="SuperTitle"/>
    <w:basedOn w:val="Title"/>
    <w:rsid w:val="000E0FD9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0E0FD9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0E0FD9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ListBullet2">
    <w:name w:val="List Bullet 2"/>
    <w:basedOn w:val="List2"/>
    <w:rsid w:val="000E0FD9"/>
    <w:pPr>
      <w:numPr>
        <w:numId w:val="12"/>
      </w:numPr>
      <w:tabs>
        <w:tab w:val="clear" w:pos="680"/>
      </w:tabs>
    </w:pPr>
  </w:style>
  <w:style w:type="paragraph" w:styleId="Index1">
    <w:name w:val="index 1"/>
    <w:basedOn w:val="Normal"/>
    <w:next w:val="Normal"/>
    <w:semiHidden/>
    <w:rsid w:val="000E0FD9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0E0FD9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0E0FD9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0E0FD9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0E0FD9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0E0FD9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0E0FD9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0E0FD9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0E0FD9"/>
    <w:pPr>
      <w:tabs>
        <w:tab w:val="clear" w:pos="3600"/>
        <w:tab w:val="clear" w:pos="3958"/>
      </w:tabs>
      <w:jc w:val="right"/>
    </w:pPr>
  </w:style>
  <w:style w:type="paragraph" w:styleId="Caption">
    <w:name w:val="caption"/>
    <w:basedOn w:val="BodyText"/>
    <w:next w:val="Normal"/>
    <w:qFormat/>
    <w:rsid w:val="000E0FD9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0E0FD9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0E0FD9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0E0FD9"/>
  </w:style>
  <w:style w:type="paragraph" w:styleId="TableofFigures">
    <w:name w:val="table of figures"/>
    <w:basedOn w:val="Normal"/>
    <w:next w:val="Normal"/>
    <w:semiHidden/>
    <w:rsid w:val="000E0FD9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0E0FD9"/>
    <w:pPr>
      <w:numPr>
        <w:numId w:val="14"/>
      </w:numPr>
      <w:tabs>
        <w:tab w:val="clear" w:pos="340"/>
      </w:tabs>
    </w:pPr>
  </w:style>
  <w:style w:type="character" w:customStyle="1" w:styleId="WingdingSymbols">
    <w:name w:val="Wingding Symbols"/>
    <w:rsid w:val="000E0FD9"/>
    <w:rPr>
      <w:rFonts w:ascii="Wingdings" w:hAnsi="Wingdings"/>
    </w:rPr>
  </w:style>
  <w:style w:type="paragraph" w:customStyle="1" w:styleId="TableHeading">
    <w:name w:val="Table Heading"/>
    <w:basedOn w:val="HeadingBase"/>
    <w:rsid w:val="000E0FD9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0E0FD9"/>
    <w:rPr>
      <w:color w:val="0033CC"/>
      <w:u w:val="none"/>
    </w:rPr>
  </w:style>
  <w:style w:type="paragraph" w:customStyle="1" w:styleId="BodyTextRight">
    <w:name w:val="Body Text Right"/>
    <w:basedOn w:val="BodyText"/>
    <w:rsid w:val="000E0FD9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0E0FD9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0E0FD9"/>
    <w:pPr>
      <w:numPr>
        <w:numId w:val="9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0E0FD9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0E0FD9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0E0FD9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0E0FD9"/>
    <w:rPr>
      <w:sz w:val="32"/>
    </w:rPr>
  </w:style>
  <w:style w:type="paragraph" w:customStyle="1" w:styleId="HeadingProcedure">
    <w:name w:val="Heading Procedure"/>
    <w:basedOn w:val="HeadingBase"/>
    <w:next w:val="Normal"/>
    <w:rsid w:val="000E0FD9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0E0FD9"/>
    <w:pPr>
      <w:spacing w:before="60" w:after="60"/>
    </w:pPr>
  </w:style>
  <w:style w:type="paragraph" w:styleId="ListContinue">
    <w:name w:val="List Continue"/>
    <w:basedOn w:val="List"/>
    <w:rsid w:val="000E0FD9"/>
    <w:pPr>
      <w:ind w:firstLine="0"/>
    </w:pPr>
  </w:style>
  <w:style w:type="paragraph" w:customStyle="1" w:styleId="ListNote">
    <w:name w:val="List Note"/>
    <w:basedOn w:val="List"/>
    <w:rsid w:val="000E0FD9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0E0FD9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0E0FD9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0E0FD9"/>
    <w:rPr>
      <w:rFonts w:ascii="Courier New" w:hAnsi="Courier New"/>
    </w:rPr>
  </w:style>
  <w:style w:type="paragraph" w:customStyle="1" w:styleId="NoteBullet">
    <w:name w:val="Note Bullet"/>
    <w:basedOn w:val="Note"/>
    <w:rsid w:val="000E0FD9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0E0FD9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0E0FD9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0E0FD9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0E0FD9"/>
    <w:pPr>
      <w:numPr>
        <w:numId w:val="10"/>
      </w:numPr>
    </w:pPr>
  </w:style>
  <w:style w:type="paragraph" w:styleId="PlainText">
    <w:name w:val="Plain Text"/>
    <w:basedOn w:val="Normal"/>
    <w:link w:val="PlainTextChar"/>
    <w:rsid w:val="000E0FD9"/>
    <w:rPr>
      <w:sz w:val="20"/>
    </w:rPr>
  </w:style>
  <w:style w:type="character" w:customStyle="1" w:styleId="PlainTextChar">
    <w:name w:val="Plain Text Char"/>
    <w:basedOn w:val="DefaultParagraphFont"/>
    <w:link w:val="PlainText"/>
    <w:rsid w:val="000E0FD9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0E0FD9"/>
    <w:rPr>
      <w:b/>
      <w:smallCaps/>
    </w:rPr>
  </w:style>
  <w:style w:type="paragraph" w:customStyle="1" w:styleId="TableListNumber">
    <w:name w:val="Table List Number"/>
    <w:basedOn w:val="ListNumber"/>
    <w:rsid w:val="000E0FD9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0E0FD9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0E0FD9"/>
    <w:pPr>
      <w:numPr>
        <w:numId w:val="8"/>
      </w:numPr>
    </w:pPr>
  </w:style>
  <w:style w:type="paragraph" w:customStyle="1" w:styleId="ListAlpha2">
    <w:name w:val="List Alpha 2"/>
    <w:basedOn w:val="List2"/>
    <w:rsid w:val="000E0FD9"/>
    <w:pPr>
      <w:numPr>
        <w:numId w:val="7"/>
      </w:numPr>
    </w:pPr>
  </w:style>
  <w:style w:type="paragraph" w:styleId="List2">
    <w:name w:val="List 2"/>
    <w:basedOn w:val="BodyText"/>
    <w:rsid w:val="000E0FD9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0E0FD9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0E0FD9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0E0FD9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0E0FD9"/>
    <w:pPr>
      <w:numPr>
        <w:numId w:val="13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0E0FD9"/>
    <w:pPr>
      <w:numPr>
        <w:numId w:val="2"/>
      </w:numPr>
      <w:tabs>
        <w:tab w:val="clear" w:pos="1361"/>
      </w:tabs>
    </w:pPr>
  </w:style>
  <w:style w:type="paragraph" w:styleId="ListBullet5">
    <w:name w:val="List Bullet 5"/>
    <w:basedOn w:val="List5"/>
    <w:rsid w:val="000E0FD9"/>
    <w:pPr>
      <w:numPr>
        <w:numId w:val="3"/>
      </w:numPr>
    </w:pPr>
  </w:style>
  <w:style w:type="paragraph" w:styleId="ListContinue2">
    <w:name w:val="List Continue 2"/>
    <w:basedOn w:val="List2"/>
    <w:rsid w:val="000E0FD9"/>
    <w:pPr>
      <w:ind w:firstLine="0"/>
    </w:pPr>
  </w:style>
  <w:style w:type="paragraph" w:styleId="ListContinue3">
    <w:name w:val="List Continue 3"/>
    <w:basedOn w:val="List3"/>
    <w:rsid w:val="000E0FD9"/>
    <w:pPr>
      <w:ind w:left="1021" w:firstLine="0"/>
    </w:pPr>
  </w:style>
  <w:style w:type="paragraph" w:styleId="ListContinue4">
    <w:name w:val="List Continue 4"/>
    <w:basedOn w:val="List4"/>
    <w:rsid w:val="000E0FD9"/>
    <w:pPr>
      <w:ind w:firstLine="0"/>
    </w:pPr>
  </w:style>
  <w:style w:type="paragraph" w:styleId="ListContinue5">
    <w:name w:val="List Continue 5"/>
    <w:basedOn w:val="List5"/>
    <w:rsid w:val="000E0FD9"/>
    <w:pPr>
      <w:ind w:firstLine="0"/>
    </w:pPr>
  </w:style>
  <w:style w:type="paragraph" w:styleId="ListNumber3">
    <w:name w:val="List Number 3"/>
    <w:basedOn w:val="List3"/>
    <w:rsid w:val="000E0FD9"/>
    <w:pPr>
      <w:numPr>
        <w:numId w:val="4"/>
      </w:numPr>
    </w:pPr>
  </w:style>
  <w:style w:type="paragraph" w:styleId="ListNumber4">
    <w:name w:val="List Number 4"/>
    <w:basedOn w:val="List4"/>
    <w:rsid w:val="000E0FD9"/>
    <w:pPr>
      <w:numPr>
        <w:numId w:val="5"/>
      </w:numPr>
    </w:pPr>
  </w:style>
  <w:style w:type="paragraph" w:styleId="ListNumber5">
    <w:name w:val="List Number 5"/>
    <w:basedOn w:val="List5"/>
    <w:rsid w:val="000E0FD9"/>
    <w:pPr>
      <w:numPr>
        <w:numId w:val="6"/>
      </w:numPr>
    </w:pPr>
  </w:style>
  <w:style w:type="paragraph" w:styleId="BlockText">
    <w:name w:val="Block Text"/>
    <w:basedOn w:val="Normal"/>
    <w:rsid w:val="000E0FD9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0E0FD9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0E0FD9"/>
    <w:rPr>
      <w:sz w:val="16"/>
      <w:vertAlign w:val="superscript"/>
    </w:rPr>
  </w:style>
  <w:style w:type="character" w:customStyle="1" w:styleId="Symbols">
    <w:name w:val="Symbols"/>
    <w:basedOn w:val="DefaultParagraphFont"/>
    <w:rsid w:val="000E0FD9"/>
    <w:rPr>
      <w:rFonts w:ascii="Symbol" w:hAnsi="Symbol"/>
    </w:rPr>
  </w:style>
  <w:style w:type="character" w:customStyle="1" w:styleId="MenuOptions">
    <w:name w:val="Menu Options"/>
    <w:basedOn w:val="DefaultParagraphFont"/>
    <w:rsid w:val="000E0FD9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0E0FD9"/>
    <w:rPr>
      <w:b/>
    </w:rPr>
  </w:style>
  <w:style w:type="character" w:customStyle="1" w:styleId="Underlined">
    <w:name w:val="Underlined"/>
    <w:basedOn w:val="DefaultParagraphFont"/>
    <w:rsid w:val="000E0FD9"/>
    <w:rPr>
      <w:u w:val="single"/>
    </w:rPr>
  </w:style>
  <w:style w:type="paragraph" w:customStyle="1" w:styleId="TableBodyTextRight">
    <w:name w:val="Table Body Text Right"/>
    <w:basedOn w:val="TableBodyText"/>
    <w:rsid w:val="000E0FD9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0E0FD9"/>
    <w:rPr>
      <w:sz w:val="18"/>
    </w:rPr>
  </w:style>
  <w:style w:type="paragraph" w:customStyle="1" w:styleId="BodySmallRight">
    <w:name w:val="Body Small Right"/>
    <w:basedOn w:val="BodyTextRight"/>
    <w:rsid w:val="000E0FD9"/>
    <w:rPr>
      <w:sz w:val="18"/>
      <w:szCs w:val="18"/>
    </w:rPr>
  </w:style>
  <w:style w:type="paragraph" w:customStyle="1" w:styleId="MarginEdition">
    <w:name w:val="Margin Edition"/>
    <w:basedOn w:val="MarginNote"/>
    <w:rsid w:val="000E0FD9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0E0FD9"/>
    <w:rPr>
      <w:sz w:val="2"/>
      <w:szCs w:val="2"/>
    </w:rPr>
  </w:style>
  <w:style w:type="character" w:customStyle="1" w:styleId="Small">
    <w:name w:val="Small"/>
    <w:basedOn w:val="DefaultParagraphFont"/>
    <w:rsid w:val="000E0FD9"/>
    <w:rPr>
      <w:sz w:val="16"/>
    </w:rPr>
  </w:style>
  <w:style w:type="paragraph" w:customStyle="1" w:styleId="WideTable">
    <w:name w:val="Wide Table"/>
    <w:basedOn w:val="Normal"/>
    <w:rsid w:val="000E0FD9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0E0FD9"/>
  </w:style>
  <w:style w:type="paragraph" w:styleId="Quote">
    <w:name w:val="Quote"/>
    <w:basedOn w:val="Heading1"/>
    <w:link w:val="QuoteChar"/>
    <w:qFormat/>
    <w:rsid w:val="000E0FD9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0E0FD9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0E0FD9"/>
    <w:pPr>
      <w:pageBreakBefore/>
    </w:pPr>
  </w:style>
  <w:style w:type="paragraph" w:customStyle="1" w:styleId="Border">
    <w:name w:val="Border"/>
    <w:basedOn w:val="Normal"/>
    <w:qFormat/>
    <w:rsid w:val="000E0FD9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0E0FD9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0E0FD9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0E0FD9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0E0FD9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0E0FD9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0E0FD9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0E0FD9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0E0FD9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0E0FD9"/>
    <w:rPr>
      <w:u w:val="single"/>
    </w:rPr>
  </w:style>
  <w:style w:type="character" w:customStyle="1" w:styleId="BoldandItalics">
    <w:name w:val="Bold and Italics"/>
    <w:qFormat/>
    <w:rsid w:val="000E0FD9"/>
    <w:rPr>
      <w:b/>
      <w:i/>
      <w:u w:val="none"/>
    </w:rPr>
  </w:style>
  <w:style w:type="paragraph" w:styleId="BalloonText">
    <w:name w:val="Balloon Text"/>
    <w:basedOn w:val="Normal"/>
    <w:link w:val="BalloonTextChar"/>
    <w:rsid w:val="000E0FD9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0E0FD9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0E0FD9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0E0FD9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0E0FD9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0E0FD9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0E0FD9"/>
    <w:pPr>
      <w:spacing w:before="0" w:after="0"/>
    </w:pPr>
  </w:style>
  <w:style w:type="character" w:styleId="Hyperlink">
    <w:name w:val="Hyperlink"/>
    <w:basedOn w:val="DefaultParagraphFont"/>
    <w:uiPriority w:val="99"/>
    <w:unhideWhenUsed/>
    <w:rsid w:val="00E76D0A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4</Pages>
  <Words>682</Words>
  <Characters>4470</Characters>
  <Application>Microsoft Office Word</Application>
  <DocSecurity>0</DocSecurity>
  <Lines>154</Lines>
  <Paragraphs>79</Paragraphs>
  <ScaleCrop>false</ScaleCrop>
  <Company>Author-it Software Corporation Ltd.</Company>
  <LinksUpToDate>false</LinksUpToDate>
  <CharactersWithSpaces>5073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ACMEQU507 Work within an equine allied health provider framework</dc:title>
  <dc:subject>Approved</dc:subject>
  <dc:creator>Skills Impact</dc:creator>
  <cp:keywords>Release: 1</cp:keywords>
  <dc:description>Review Date: 12 April 2008</dc:description>
  <cp:lastModifiedBy>HSD_TPCMSd.prod</cp:lastModifiedBy>
  <cp:revision>3</cp:revision>
  <dcterms:created xsi:type="dcterms:W3CDTF">2022-07-16T08:19:00Z</dcterms:created>
  <dcterms:modified xsi:type="dcterms:W3CDTF">2022-07-16T08:19:00Z</dcterms:modified>
</cp:coreProperties>
</file>