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49A" w:rsidP="00354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ACMEQU503 Manage international opportunities for horses</w:t>
      </w:r>
      <w:r>
        <w:fldChar w:fldCharType="end"/>
      </w:r>
    </w:p>
    <w:p w:rsidR="0035449A" w:rsidP="0035449A">
      <w:pPr>
        <w:pStyle w:val="Version"/>
        <w:sectPr w:rsidSect="00401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06B" w:rsidP="0040106B">
      <w:pPr>
        <w:pStyle w:val="SuperHeading"/>
      </w:pPr>
      <w:r w:rsidRPr="0040106B">
        <w:t>ACMEQU503 Manage international opportunities for horses</w:t>
      </w:r>
    </w:p>
    <w:p w:rsidR="00000000" w:rsidRPr="0040106B" w:rsidP="0040106B">
      <w:pPr>
        <w:pStyle w:val="Heading1"/>
      </w:pPr>
      <w:bookmarkStart w:id="1" w:name="O_1213419"/>
      <w:bookmarkEnd w:id="1"/>
      <w:r w:rsidRPr="004010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Comments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This version released with ACM Animal Care and Management Training Package Version 5.0.</w:t>
            </w:r>
          </w:p>
        </w:tc>
      </w:tr>
    </w:tbl>
    <w:p w:rsidR="00000000" w:rsidRPr="0040106B" w:rsidP="0040106B">
      <w:pPr>
        <w:pStyle w:val="BodyText"/>
      </w:pPr>
    </w:p>
    <w:p w:rsidR="00000000" w:rsidRPr="0040106B" w:rsidP="0040106B">
      <w:pPr>
        <w:pStyle w:val="AllowPageBreak"/>
      </w:pPr>
    </w:p>
    <w:p w:rsidR="00000000" w:rsidRPr="0040106B" w:rsidP="0040106B">
      <w:pPr>
        <w:pStyle w:val="Heading1"/>
      </w:pPr>
      <w:bookmarkStart w:id="2" w:name="O_1213420"/>
      <w:bookmarkEnd w:id="2"/>
      <w:r w:rsidRPr="0040106B">
        <w:t>Application</w:t>
      </w:r>
    </w:p>
    <w:p w:rsidR="00000000" w:rsidRPr="0040106B" w:rsidP="0035449A">
      <w:pPr>
        <w:pStyle w:val="BodyText"/>
      </w:pPr>
      <w:r w:rsidRPr="0040106B">
        <w:t xml:space="preserve">This unit of competency covers the skills and knowledge required to </w:t>
      </w:r>
      <w:r w:rsidRPr="0040106B">
        <w:t>manage processes for identifying and participating in international events. It includes assessing feasibility, resource implications, compliance with international regulations, managing transport and accommodation arrangements, and meeting quarantine oblig</w:t>
      </w:r>
      <w:r w:rsidRPr="0040106B">
        <w:t>ations. It is relevant to a range of horse events and performance disciplines.</w:t>
      </w:r>
    </w:p>
    <w:p w:rsidR="00000000" w:rsidRPr="0040106B" w:rsidP="0035449A">
      <w:pPr>
        <w:pStyle w:val="BodyText"/>
      </w:pPr>
      <w:r w:rsidRPr="0040106B">
        <w:t>The unit applies to individuals who have a broad range of skills and experience working in managerial roles in horse operations. They analyse information, solve routine and at t</w:t>
      </w:r>
      <w:r w:rsidRPr="0040106B">
        <w:t>imes complex problems and convey information and skills to others.</w:t>
      </w:r>
    </w:p>
    <w:p w:rsidR="00000000" w:rsidRPr="0040106B" w:rsidP="0035449A">
      <w:pPr>
        <w:pStyle w:val="BodyText"/>
      </w:pPr>
      <w:r w:rsidRPr="0040106B">
        <w:t>Commonwealth and state/territory health and safety and animal welfare legislation, regulations and codes of practice relevant to interacting with horses apply to workers in this industry. R</w:t>
      </w:r>
      <w:r w:rsidRPr="0040106B">
        <w:t>equirements vary between industry sectors and jurisdictions.</w:t>
      </w:r>
    </w:p>
    <w:p w:rsidR="00000000" w:rsidRPr="0040106B" w:rsidP="0035449A">
      <w:pPr>
        <w:pStyle w:val="BodyText"/>
      </w:pPr>
      <w:r w:rsidRPr="0040106B">
        <w:t>No licensing, legislative or certification requirements apply to this unit at the time of publication.</w:t>
      </w:r>
    </w:p>
    <w:p w:rsidR="00000000" w:rsidRPr="0040106B" w:rsidP="0040106B">
      <w:pPr>
        <w:pStyle w:val="Heading1"/>
      </w:pPr>
      <w:bookmarkStart w:id="3" w:name="O_1213421"/>
      <w:bookmarkEnd w:id="3"/>
      <w:r w:rsidRPr="0040106B">
        <w:t>Pre-requisite Unit</w:t>
      </w:r>
    </w:p>
    <w:p w:rsidR="00000000" w:rsidRPr="0040106B" w:rsidP="0035449A">
      <w:pPr>
        <w:pStyle w:val="BodyText"/>
      </w:pPr>
      <w:r w:rsidRPr="0040106B">
        <w:t>Nil</w:t>
      </w:r>
    </w:p>
    <w:p w:rsidR="00000000" w:rsidRPr="0040106B" w:rsidP="0040106B">
      <w:pPr>
        <w:pStyle w:val="Heading1"/>
      </w:pPr>
      <w:bookmarkStart w:id="4" w:name="O_1213423"/>
      <w:bookmarkEnd w:id="4"/>
      <w:r w:rsidRPr="0040106B">
        <w:t>Unit Sector</w:t>
      </w:r>
    </w:p>
    <w:p w:rsidR="00000000" w:rsidRPr="0040106B" w:rsidP="0035449A">
      <w:pPr>
        <w:pStyle w:val="BodyText"/>
      </w:pPr>
      <w:r w:rsidRPr="0040106B">
        <w:t>Equine (EQU)</w:t>
      </w:r>
    </w:p>
    <w:p w:rsidR="00000000" w:rsidRPr="0040106B" w:rsidP="0040106B">
      <w:pPr>
        <w:pStyle w:val="Heading1"/>
      </w:pPr>
      <w:bookmarkStart w:id="5" w:name="O_1213424"/>
      <w:bookmarkEnd w:id="5"/>
      <w:r w:rsidRPr="004010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Performance Criteria</w:t>
            </w:r>
          </w:p>
        </w:tc>
      </w:tr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 xml:space="preserve">1. Evaluate relevant </w:t>
            </w:r>
            <w:r w:rsidRPr="0040106B">
              <w:t>international</w:t>
            </w:r>
            <w:r w:rsidRPr="0040106B">
              <w:t xml:space="preserve"> horse event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 xml:space="preserve">1.1 Identify suitable international events, dates and locations for </w:t>
            </w:r>
            <w:r w:rsidRPr="0040106B">
              <w:t>relevant sport, discipline or recreational purpose</w:t>
            </w:r>
          </w:p>
          <w:p w:rsidR="00000000" w:rsidRPr="0040106B" w:rsidP="0040106B">
            <w:pPr>
              <w:pStyle w:val="BodyText"/>
            </w:pPr>
            <w:r w:rsidRPr="0040106B">
              <w:t>1.2 Identify legislative requirements and event rules related to participating in an international horse event</w:t>
            </w:r>
          </w:p>
          <w:p w:rsidR="00000000" w:rsidRPr="0040106B" w:rsidP="0040106B">
            <w:pPr>
              <w:pStyle w:val="BodyText"/>
            </w:pPr>
            <w:r w:rsidRPr="0040106B">
              <w:t xml:space="preserve">1.3 Research qualifying and entry requirements for international event </w:t>
            </w:r>
          </w:p>
          <w:p w:rsidR="00000000" w:rsidRPr="0040106B" w:rsidP="0040106B">
            <w:pPr>
              <w:pStyle w:val="BodyText"/>
            </w:pPr>
            <w:r w:rsidRPr="0040106B">
              <w:t>1.4 Assess the suitability of individual horses and risks associated with participating in an international event</w:t>
            </w:r>
          </w:p>
          <w:p w:rsidR="00000000" w:rsidRPr="0040106B" w:rsidP="0040106B">
            <w:pPr>
              <w:pStyle w:val="BodyText"/>
            </w:pPr>
            <w:r w:rsidRPr="0040106B">
              <w:t>1.5 Evaluate resources required and costs to participate in international event</w:t>
            </w:r>
          </w:p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1.6 Undertake a cost-benefit analysis for participating in international event</w:t>
            </w:r>
          </w:p>
        </w:tc>
      </w:tr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2. Manage resources and logistics for participating in international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2.1 Research and sele</w:t>
            </w:r>
            <w:r w:rsidRPr="0040106B">
              <w:t>ct international horse travel and insurance supplier, and organise requirements</w:t>
            </w:r>
          </w:p>
          <w:p w:rsidR="00000000" w:rsidRPr="0040106B" w:rsidP="0040106B">
            <w:pPr>
              <w:pStyle w:val="BodyText"/>
            </w:pPr>
            <w:r w:rsidRPr="0040106B">
              <w:t>2.2 Arrange schedules to minimise health, biosecurity and performance risks associated with long-haul transport</w:t>
            </w:r>
          </w:p>
          <w:p w:rsidR="00000000" w:rsidRPr="0040106B" w:rsidP="0040106B">
            <w:pPr>
              <w:pStyle w:val="BodyText"/>
            </w:pPr>
            <w:r w:rsidRPr="0040106B">
              <w:t>2.3 Arrange transport and accommodation for horses and personnel</w:t>
            </w:r>
            <w:r w:rsidRPr="0040106B">
              <w:t xml:space="preserve"> within the destination country </w:t>
            </w:r>
          </w:p>
          <w:p w:rsidR="00000000" w:rsidRPr="0040106B" w:rsidP="0040106B">
            <w:pPr>
              <w:pStyle w:val="BodyText"/>
            </w:pPr>
            <w:r w:rsidRPr="0040106B">
              <w:t xml:space="preserve">2.4 Determine nutrition, health and welfare issues associated with travel to destination country </w:t>
            </w:r>
          </w:p>
          <w:p w:rsidR="00000000" w:rsidRPr="0040106B" w:rsidP="0040106B">
            <w:pPr>
              <w:pStyle w:val="BodyText"/>
            </w:pPr>
            <w:r w:rsidRPr="0040106B">
              <w:t>2.5 Source industry specialists within the destination country to support activities</w:t>
            </w:r>
          </w:p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 xml:space="preserve">2.6 Develop and implement strategies to </w:t>
            </w:r>
            <w:r w:rsidRPr="0040106B">
              <w:t>control risks associated with safe horse handling, biosecurity and international travel</w:t>
            </w:r>
          </w:p>
        </w:tc>
      </w:tr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3. Manage international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3.1 Research relevant import and export quarantine and biosecurity regulations</w:t>
            </w:r>
          </w:p>
          <w:p w:rsidR="00000000" w:rsidRPr="0040106B" w:rsidP="0040106B">
            <w:pPr>
              <w:pStyle w:val="BodyText"/>
            </w:pPr>
            <w:r w:rsidRPr="0040106B">
              <w:t>3.2 Determine and comply with biosecuri</w:t>
            </w:r>
            <w:r w:rsidRPr="0040106B">
              <w:t>ty and health management requirements of the destination country</w:t>
            </w:r>
          </w:p>
          <w:p w:rsidR="00000000" w:rsidRPr="0040106B" w:rsidP="0040106B">
            <w:pPr>
              <w:pStyle w:val="BodyText"/>
            </w:pPr>
            <w:r w:rsidRPr="0040106B">
              <w:t>3.3 Arrange pre-export quarantine facilities with relevant authorities</w:t>
            </w:r>
          </w:p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3.4 Organise and manage quarantine and biosecurity arrangements for return of horses</w:t>
            </w:r>
          </w:p>
        </w:tc>
      </w:tr>
      <w:tr w:rsidTr="00354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4. Evaluate outcomes of participat</w:t>
            </w:r>
            <w:r w:rsidRPr="0040106B">
              <w:t>ing in international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4.1 Complete international event activities and document outcomes and lessons learned</w:t>
            </w:r>
          </w:p>
          <w:p w:rsidR="00000000" w:rsidRPr="0040106B" w:rsidP="0040106B">
            <w:pPr>
              <w:pStyle w:val="BodyText"/>
            </w:pPr>
            <w:r w:rsidRPr="0040106B">
              <w:t>4.2 Evaluate outcomes of international event with relevant personnel</w:t>
            </w:r>
          </w:p>
          <w:p w:rsidR="00000000" w:rsidRPr="0040106B" w:rsidP="0040106B">
            <w:pPr>
              <w:pStyle w:val="BodyText"/>
            </w:pPr>
            <w:r w:rsidRPr="0040106B">
              <w:t>4.3 Determine improvements to planning for future international events</w:t>
            </w:r>
          </w:p>
        </w:tc>
      </w:tr>
    </w:tbl>
    <w:p w:rsidR="00000000" w:rsidRPr="0040106B" w:rsidP="0040106B">
      <w:pPr>
        <w:pStyle w:val="BodyText"/>
      </w:pPr>
    </w:p>
    <w:p w:rsidR="00000000" w:rsidRPr="0040106B" w:rsidP="0040106B">
      <w:pPr>
        <w:pStyle w:val="AllowPageBreak"/>
      </w:pPr>
    </w:p>
    <w:p w:rsidR="00000000" w:rsidRPr="0040106B" w:rsidP="0040106B">
      <w:pPr>
        <w:pStyle w:val="Heading1"/>
      </w:pPr>
      <w:bookmarkStart w:id="6" w:name="O_1213425"/>
      <w:bookmarkEnd w:id="6"/>
      <w:r w:rsidRPr="0040106B">
        <w:t>Foundation Skills</w:t>
      </w:r>
    </w:p>
    <w:p w:rsidR="00000000" w:rsidRPr="0035449A" w:rsidP="0035449A">
      <w:pPr>
        <w:pStyle w:val="BodyText"/>
        <w:rPr>
          <w:i/>
        </w:rPr>
      </w:pPr>
      <w:r w:rsidRPr="003544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Description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ListBullet"/>
            </w:pPr>
            <w:r w:rsidRPr="0040106B">
              <w:t>Access and interpret complex textual information in legislation and formal international rules and regulations</w:t>
            </w:r>
          </w:p>
          <w:p w:rsidR="00000000" w:rsidP="0040106B">
            <w:pPr>
              <w:pStyle w:val="ListBullet"/>
              <w:rPr>
                <w:lang w:val="en-NZ"/>
              </w:rPr>
            </w:pPr>
            <w:r w:rsidRPr="0040106B">
              <w:t>Identify key information relevant to international competition in a range of documents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ListBullet"/>
              <w:rPr>
                <w:lang w:val="en-NZ"/>
              </w:rPr>
            </w:pPr>
            <w:r w:rsidRPr="0040106B">
              <w:t>Complete forms and documents required for international event and suppliers of services in print-based and/or digital formats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ListBullet"/>
              <w:rPr>
                <w:lang w:val="en-NZ"/>
              </w:rPr>
            </w:pPr>
            <w:r w:rsidRPr="0040106B">
              <w:t>Participate in verbal exchanges to clarify and confirm information using language appropriate for audience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N</w:t>
            </w:r>
            <w:r w:rsidRPr="0040106B">
              <w:t>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ListBullet"/>
            </w:pPr>
            <w:r w:rsidRPr="0040106B">
              <w:t>Calculate fees and resource costs</w:t>
            </w:r>
          </w:p>
          <w:p w:rsidR="00000000" w:rsidRPr="0040106B" w:rsidP="0040106B">
            <w:pPr>
              <w:pStyle w:val="ListBullet"/>
            </w:pPr>
            <w:r w:rsidRPr="0040106B">
              <w:t>Analyse financial data and budget</w:t>
            </w:r>
          </w:p>
          <w:p w:rsidR="00000000" w:rsidRPr="0040106B" w:rsidP="0040106B">
            <w:pPr>
              <w:pStyle w:val="ListBullet"/>
            </w:pPr>
            <w:r w:rsidRPr="0040106B">
              <w:t>Prepare timeline and schedule for organising an international event</w:t>
            </w:r>
          </w:p>
        </w:tc>
      </w:tr>
    </w:tbl>
    <w:p w:rsidR="00000000" w:rsidRPr="0040106B" w:rsidP="0040106B">
      <w:pPr>
        <w:pStyle w:val="BodyText"/>
      </w:pPr>
    </w:p>
    <w:p w:rsidR="00000000" w:rsidRPr="0040106B" w:rsidP="0040106B">
      <w:pPr>
        <w:pStyle w:val="AllowPageBreak"/>
      </w:pPr>
    </w:p>
    <w:p w:rsidR="00000000" w:rsidRPr="0040106B" w:rsidP="0040106B">
      <w:pPr>
        <w:pStyle w:val="Heading1"/>
      </w:pPr>
      <w:bookmarkStart w:id="7" w:name="O_1213427"/>
      <w:bookmarkEnd w:id="7"/>
      <w:r w:rsidRPr="004010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Bold"/>
              <w:rPr>
                <w:lang w:val="en-NZ"/>
              </w:rPr>
            </w:pPr>
            <w:r w:rsidRPr="0040106B">
              <w:t>Equivalence status</w:t>
            </w:r>
          </w:p>
        </w:tc>
      </w:tr>
      <w:tr w:rsidTr="00401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ACMEQU503 Manage international opportunities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ACMPHR404 Manage international opportunities for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Title changed</w:t>
            </w:r>
          </w:p>
          <w:p w:rsidR="00000000" w:rsidRPr="0040106B" w:rsidP="0040106B">
            <w:pPr>
              <w:pStyle w:val="BodyText"/>
            </w:pPr>
            <w:r w:rsidRPr="0040106B">
              <w:t>Code changed to reflect updated EQU sector and AQF level indicator changed from 4 to 5 to</w:t>
            </w:r>
            <w:r w:rsidRPr="0040106B">
              <w:t xml:space="preserve"> reflect revised unit outcomes</w:t>
            </w:r>
          </w:p>
          <w:p w:rsidR="00000000" w:rsidRPr="0040106B" w:rsidP="0040106B">
            <w:pPr>
              <w:pStyle w:val="BodyText"/>
            </w:pPr>
            <w:r w:rsidRPr="0040106B">
              <w:t>Elements and Performance Criteria merged and reordered for clarity</w:t>
            </w:r>
          </w:p>
          <w:p w:rsidR="00000000" w:rsidP="0040106B">
            <w:pPr>
              <w:pStyle w:val="BodyText"/>
              <w:rPr>
                <w:lang w:val="en-NZ"/>
              </w:rPr>
            </w:pPr>
            <w:r w:rsidRPr="0040106B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6B" w:rsidP="0040106B">
            <w:pPr>
              <w:pStyle w:val="BodyText"/>
            </w:pPr>
            <w:r w:rsidRPr="0040106B">
              <w:t>Not equivalent</w:t>
            </w:r>
          </w:p>
        </w:tc>
      </w:tr>
    </w:tbl>
    <w:p w:rsidR="00000000" w:rsidRPr="0040106B" w:rsidP="0040106B">
      <w:pPr>
        <w:pStyle w:val="BodyText"/>
      </w:pPr>
    </w:p>
    <w:p w:rsidR="00000000" w:rsidRPr="0040106B" w:rsidP="0040106B">
      <w:pPr>
        <w:pStyle w:val="AllowPageBreak"/>
      </w:pPr>
    </w:p>
    <w:p w:rsidR="00000000" w:rsidRPr="0040106B" w:rsidP="0040106B">
      <w:pPr>
        <w:pStyle w:val="Heading1"/>
      </w:pPr>
      <w:bookmarkStart w:id="8" w:name="O_1213434"/>
      <w:bookmarkEnd w:id="8"/>
      <w:r w:rsidRPr="0040106B">
        <w:t>Links</w:t>
      </w:r>
    </w:p>
    <w:p w:rsidR="00000000" w:rsidRPr="0040106B" w:rsidP="0035449A">
      <w:pPr>
        <w:pStyle w:val="BodyText"/>
      </w:pPr>
      <w:r w:rsidRPr="0040106B">
        <w:t xml:space="preserve">Companion Volumes, including Implementation Guides, are </w:t>
      </w:r>
      <w:r w:rsidRPr="0040106B">
        <w:t xml:space="preserve">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B6B7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0106B" w:rsidP="0040106B"/>
    <w:sectPr w:rsidSect="004010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 w:rsidRPr="0035449A" w:rsidP="00354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9A" w:rsidP="00401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49A" w:rsidP="00401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449A" w:rsidP="00401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06B" w:rsidRPr="0035449A" w:rsidP="00354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9A" w:rsidRPr="002D2AF8" w:rsidP="00401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ACMEQU503 Manage international opportunities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5449A" w:rsidP="00401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44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A3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06B"/>
  </w:style>
  <w:style w:type="character" w:customStyle="1" w:styleId="Heading1Char">
    <w:name w:val="Heading 1 Char"/>
    <w:basedOn w:val="DefaultParagraphFont"/>
    <w:link w:val="Heading1"/>
    <w:rsid w:val="00401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0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106B"/>
    <w:rPr>
      <w:i/>
    </w:rPr>
  </w:style>
  <w:style w:type="paragraph" w:customStyle="1" w:styleId="SuperHeading">
    <w:name w:val="SuperHeading"/>
    <w:basedOn w:val="Normal"/>
    <w:rsid w:val="00401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106B"/>
    <w:rPr>
      <w:b/>
    </w:rPr>
  </w:style>
  <w:style w:type="character" w:customStyle="1" w:styleId="Heading2Char">
    <w:name w:val="Heading 2 Char"/>
    <w:basedOn w:val="DefaultParagraphFont"/>
    <w:link w:val="Heading2"/>
    <w:rsid w:val="00401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06B"/>
    <w:rPr>
      <w:b/>
      <w:spacing w:val="0"/>
    </w:rPr>
  </w:style>
  <w:style w:type="paragraph" w:customStyle="1" w:styleId="SuperTitle">
    <w:name w:val="SuperTitle"/>
    <w:basedOn w:val="Title"/>
    <w:rsid w:val="00401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0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0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06B"/>
  </w:style>
  <w:style w:type="paragraph" w:styleId="TableofFigures">
    <w:name w:val="table of figures"/>
    <w:basedOn w:val="Normal"/>
    <w:next w:val="Normal"/>
    <w:semiHidden/>
    <w:rsid w:val="00401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0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06B"/>
    <w:rPr>
      <w:rFonts w:ascii="Wingdings" w:hAnsi="Wingdings"/>
    </w:rPr>
  </w:style>
  <w:style w:type="paragraph" w:customStyle="1" w:styleId="TableHeading">
    <w:name w:val="Table Heading"/>
    <w:basedOn w:val="HeadingBase"/>
    <w:rsid w:val="00401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06B"/>
    <w:rPr>
      <w:color w:val="0033CC"/>
      <w:u w:val="none"/>
    </w:rPr>
  </w:style>
  <w:style w:type="paragraph" w:customStyle="1" w:styleId="BodyTextRight">
    <w:name w:val="Body Text Right"/>
    <w:basedOn w:val="BodyText"/>
    <w:rsid w:val="00401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0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06B"/>
    <w:rPr>
      <w:sz w:val="32"/>
    </w:rPr>
  </w:style>
  <w:style w:type="paragraph" w:customStyle="1" w:styleId="HeadingProcedure">
    <w:name w:val="Heading Procedure"/>
    <w:basedOn w:val="HeadingBase"/>
    <w:next w:val="Normal"/>
    <w:rsid w:val="00401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06B"/>
    <w:pPr>
      <w:spacing w:before="60" w:after="60"/>
    </w:pPr>
  </w:style>
  <w:style w:type="paragraph" w:styleId="ListContinue">
    <w:name w:val="List Continue"/>
    <w:basedOn w:val="List"/>
    <w:rsid w:val="0040106B"/>
    <w:pPr>
      <w:ind w:firstLine="0"/>
    </w:pPr>
  </w:style>
  <w:style w:type="paragraph" w:customStyle="1" w:styleId="ListNote">
    <w:name w:val="List Note"/>
    <w:basedOn w:val="List"/>
    <w:rsid w:val="00401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06B"/>
    <w:rPr>
      <w:rFonts w:ascii="Courier New" w:hAnsi="Courier New"/>
    </w:rPr>
  </w:style>
  <w:style w:type="paragraph" w:customStyle="1" w:styleId="NoteBullet">
    <w:name w:val="Note Bullet"/>
    <w:basedOn w:val="Note"/>
    <w:rsid w:val="00401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0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06B"/>
    <w:rPr>
      <w:b/>
      <w:smallCaps/>
    </w:rPr>
  </w:style>
  <w:style w:type="paragraph" w:customStyle="1" w:styleId="TableListNumber">
    <w:name w:val="Table List Number"/>
    <w:basedOn w:val="ListNumber"/>
    <w:rsid w:val="00401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06B"/>
    <w:pPr>
      <w:numPr>
        <w:numId w:val="8"/>
      </w:numPr>
    </w:pPr>
  </w:style>
  <w:style w:type="paragraph" w:customStyle="1" w:styleId="ListAlpha2">
    <w:name w:val="List Alpha 2"/>
    <w:basedOn w:val="List2"/>
    <w:rsid w:val="0040106B"/>
    <w:pPr>
      <w:numPr>
        <w:numId w:val="7"/>
      </w:numPr>
    </w:pPr>
  </w:style>
  <w:style w:type="paragraph" w:styleId="List2">
    <w:name w:val="List 2"/>
    <w:basedOn w:val="BodyText"/>
    <w:rsid w:val="00401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0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0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06B"/>
    <w:pPr>
      <w:numPr>
        <w:numId w:val="3"/>
      </w:numPr>
    </w:pPr>
  </w:style>
  <w:style w:type="paragraph" w:styleId="ListContinue2">
    <w:name w:val="List Continue 2"/>
    <w:basedOn w:val="List2"/>
    <w:rsid w:val="0040106B"/>
    <w:pPr>
      <w:ind w:firstLine="0"/>
    </w:pPr>
  </w:style>
  <w:style w:type="paragraph" w:styleId="ListContinue3">
    <w:name w:val="List Continue 3"/>
    <w:basedOn w:val="List3"/>
    <w:rsid w:val="0040106B"/>
    <w:pPr>
      <w:ind w:left="1021" w:firstLine="0"/>
    </w:pPr>
  </w:style>
  <w:style w:type="paragraph" w:styleId="ListContinue4">
    <w:name w:val="List Continue 4"/>
    <w:basedOn w:val="List4"/>
    <w:rsid w:val="0040106B"/>
    <w:pPr>
      <w:ind w:firstLine="0"/>
    </w:pPr>
  </w:style>
  <w:style w:type="paragraph" w:styleId="ListContinue5">
    <w:name w:val="List Continue 5"/>
    <w:basedOn w:val="List5"/>
    <w:rsid w:val="0040106B"/>
    <w:pPr>
      <w:ind w:firstLine="0"/>
    </w:pPr>
  </w:style>
  <w:style w:type="paragraph" w:styleId="ListNumber3">
    <w:name w:val="List Number 3"/>
    <w:basedOn w:val="List3"/>
    <w:rsid w:val="0040106B"/>
    <w:pPr>
      <w:numPr>
        <w:numId w:val="4"/>
      </w:numPr>
    </w:pPr>
  </w:style>
  <w:style w:type="paragraph" w:styleId="ListNumber4">
    <w:name w:val="List Number 4"/>
    <w:basedOn w:val="List4"/>
    <w:rsid w:val="0040106B"/>
    <w:pPr>
      <w:numPr>
        <w:numId w:val="5"/>
      </w:numPr>
    </w:pPr>
  </w:style>
  <w:style w:type="paragraph" w:styleId="ListNumber5">
    <w:name w:val="List Number 5"/>
    <w:basedOn w:val="List5"/>
    <w:rsid w:val="0040106B"/>
    <w:pPr>
      <w:numPr>
        <w:numId w:val="6"/>
      </w:numPr>
    </w:pPr>
  </w:style>
  <w:style w:type="paragraph" w:styleId="BlockText">
    <w:name w:val="Block Text"/>
    <w:basedOn w:val="Normal"/>
    <w:rsid w:val="00401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06B"/>
    <w:rPr>
      <w:sz w:val="16"/>
      <w:vertAlign w:val="superscript"/>
    </w:rPr>
  </w:style>
  <w:style w:type="character" w:customStyle="1" w:styleId="Symbols">
    <w:name w:val="Symbols"/>
    <w:basedOn w:val="DefaultParagraphFont"/>
    <w:rsid w:val="0040106B"/>
    <w:rPr>
      <w:rFonts w:ascii="Symbol" w:hAnsi="Symbol"/>
    </w:rPr>
  </w:style>
  <w:style w:type="character" w:customStyle="1" w:styleId="MenuOptions">
    <w:name w:val="Menu Options"/>
    <w:basedOn w:val="DefaultParagraphFont"/>
    <w:rsid w:val="00401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06B"/>
    <w:rPr>
      <w:b/>
    </w:rPr>
  </w:style>
  <w:style w:type="character" w:customStyle="1" w:styleId="Underlined">
    <w:name w:val="Underlined"/>
    <w:basedOn w:val="DefaultParagraphFont"/>
    <w:rsid w:val="0040106B"/>
    <w:rPr>
      <w:u w:val="single"/>
    </w:rPr>
  </w:style>
  <w:style w:type="paragraph" w:customStyle="1" w:styleId="TableBodyTextRight">
    <w:name w:val="Table Body Text Right"/>
    <w:basedOn w:val="TableBodyText"/>
    <w:rsid w:val="00401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06B"/>
    <w:rPr>
      <w:sz w:val="18"/>
    </w:rPr>
  </w:style>
  <w:style w:type="paragraph" w:customStyle="1" w:styleId="BodySmallRight">
    <w:name w:val="Body Small Right"/>
    <w:basedOn w:val="BodyTextRight"/>
    <w:rsid w:val="0040106B"/>
    <w:rPr>
      <w:sz w:val="18"/>
      <w:szCs w:val="18"/>
    </w:rPr>
  </w:style>
  <w:style w:type="paragraph" w:customStyle="1" w:styleId="MarginEdition">
    <w:name w:val="Margin Edition"/>
    <w:basedOn w:val="MarginNote"/>
    <w:rsid w:val="00401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06B"/>
    <w:rPr>
      <w:sz w:val="2"/>
      <w:szCs w:val="2"/>
    </w:rPr>
  </w:style>
  <w:style w:type="character" w:customStyle="1" w:styleId="Small">
    <w:name w:val="Small"/>
    <w:basedOn w:val="DefaultParagraphFont"/>
    <w:rsid w:val="0040106B"/>
    <w:rPr>
      <w:sz w:val="16"/>
    </w:rPr>
  </w:style>
  <w:style w:type="paragraph" w:customStyle="1" w:styleId="WideTable">
    <w:name w:val="Wide Table"/>
    <w:basedOn w:val="Normal"/>
    <w:rsid w:val="00401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06B"/>
  </w:style>
  <w:style w:type="paragraph" w:styleId="Quote">
    <w:name w:val="Quote"/>
    <w:basedOn w:val="Heading1"/>
    <w:link w:val="QuoteChar"/>
    <w:qFormat/>
    <w:rsid w:val="00401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06B"/>
    <w:pPr>
      <w:pageBreakBefore/>
    </w:pPr>
  </w:style>
  <w:style w:type="paragraph" w:customStyle="1" w:styleId="Border">
    <w:name w:val="Border"/>
    <w:basedOn w:val="Normal"/>
    <w:qFormat/>
    <w:rsid w:val="00401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06B"/>
    <w:rPr>
      <w:u w:val="single"/>
    </w:rPr>
  </w:style>
  <w:style w:type="character" w:customStyle="1" w:styleId="BoldandItalics">
    <w:name w:val="Bold and Italics"/>
    <w:qFormat/>
    <w:rsid w:val="0040106B"/>
    <w:rPr>
      <w:b/>
      <w:i/>
      <w:u w:val="none"/>
    </w:rPr>
  </w:style>
  <w:style w:type="paragraph" w:styleId="BalloonText">
    <w:name w:val="Balloon Text"/>
    <w:basedOn w:val="Normal"/>
    <w:link w:val="BalloonTextChar"/>
    <w:rsid w:val="00401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0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4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4566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ACMEQU503 Manage international opportunities for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