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232" w:rsidP="00BD7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ACMEQU417 Advise on horse nutritional needs</w:t>
      </w:r>
      <w:r>
        <w:fldChar w:fldCharType="end"/>
      </w:r>
    </w:p>
    <w:p w:rsidR="00BD7232" w:rsidP="00BD7232">
      <w:pPr>
        <w:pStyle w:val="Version"/>
        <w:sectPr w:rsidSect="00F07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212" w:rsidP="00F07212">
      <w:pPr>
        <w:pStyle w:val="SuperHeading"/>
      </w:pPr>
      <w:r w:rsidRPr="00F07212">
        <w:t>Assessment Requirements for ACMEQU417 Advise on horse nutritional needs</w:t>
      </w:r>
    </w:p>
    <w:p w:rsidR="00000000" w:rsidRPr="00F07212" w:rsidP="00F07212">
      <w:pPr>
        <w:pStyle w:val="Heading1"/>
      </w:pPr>
      <w:bookmarkStart w:id="1" w:name="O_1213213"/>
      <w:bookmarkEnd w:id="1"/>
      <w:r w:rsidRPr="00F072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7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12">
            <w:pPr>
              <w:pStyle w:val="BodyTextBold"/>
              <w:rPr>
                <w:lang w:val="en-NZ"/>
              </w:rPr>
            </w:pPr>
            <w:r w:rsidRPr="00F0721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12">
            <w:pPr>
              <w:pStyle w:val="BodyTextBold"/>
              <w:rPr>
                <w:lang w:val="en-NZ"/>
              </w:rPr>
            </w:pPr>
            <w:r w:rsidRPr="00F07212">
              <w:t>Comments</w:t>
            </w:r>
          </w:p>
        </w:tc>
      </w:tr>
      <w:tr w:rsidTr="00F072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212">
            <w:pPr>
              <w:pStyle w:val="BodyText"/>
              <w:rPr>
                <w:lang w:val="en-NZ"/>
              </w:rPr>
            </w:pPr>
            <w:r w:rsidRPr="00F0721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212" w:rsidP="00F07212">
            <w:pPr>
              <w:pStyle w:val="BodyText"/>
            </w:pPr>
            <w:r w:rsidRPr="00F07212">
              <w:t>This version released with ACM Animal Care and Management Training Package Version 5.0.</w:t>
            </w:r>
          </w:p>
        </w:tc>
      </w:tr>
    </w:tbl>
    <w:p w:rsidR="00000000" w:rsidRPr="00F07212" w:rsidP="00F07212">
      <w:pPr>
        <w:pStyle w:val="BodyText"/>
      </w:pPr>
    </w:p>
    <w:p w:rsidR="00000000" w:rsidRPr="00F07212" w:rsidP="00F07212">
      <w:pPr>
        <w:pStyle w:val="AllowPageBreak"/>
      </w:pPr>
    </w:p>
    <w:p w:rsidR="00000000" w:rsidRPr="00F07212" w:rsidP="00F07212">
      <w:pPr>
        <w:pStyle w:val="Heading1"/>
      </w:pPr>
      <w:bookmarkStart w:id="2" w:name="O_1213214"/>
      <w:bookmarkEnd w:id="2"/>
      <w:r w:rsidRPr="00F07212">
        <w:t>Performance Evidence</w:t>
      </w:r>
    </w:p>
    <w:p w:rsidR="00000000" w:rsidRPr="00F07212" w:rsidP="00BD7232">
      <w:pPr>
        <w:pStyle w:val="BodyText"/>
      </w:pPr>
      <w:r w:rsidRPr="00F07212">
        <w:t>An individual demonstrating competency must satisfy all of the elements and performance criteria in this unit.</w:t>
      </w:r>
    </w:p>
    <w:p w:rsidR="00000000" w:rsidRPr="00F07212" w:rsidP="00BD7232">
      <w:pPr>
        <w:pStyle w:val="BodyText"/>
      </w:pPr>
      <w:r w:rsidRPr="00F07212">
        <w:t>There must be evidence that the individual has:</w:t>
      </w:r>
    </w:p>
    <w:p w:rsidR="00000000" w:rsidRPr="00F07212" w:rsidP="00F07212">
      <w:pPr>
        <w:pStyle w:val="ListBullet"/>
      </w:pPr>
      <w:r w:rsidRPr="00F07212">
        <w:t>provided advice on horse nutrition and diet to two different clients or car</w:t>
      </w:r>
      <w:r w:rsidRPr="00F07212">
        <w:t>ers, covering at least three horses with different nutritional needs, including:</w:t>
      </w:r>
    </w:p>
    <w:p w:rsidR="00000000" w:rsidRPr="00F07212" w:rsidP="00F07212">
      <w:pPr>
        <w:pStyle w:val="ListBullet2"/>
      </w:pPr>
      <w:r w:rsidRPr="00F07212">
        <w:t>determined condition score of each horse</w:t>
      </w:r>
    </w:p>
    <w:p w:rsidR="00000000" w:rsidRPr="00F07212" w:rsidP="00F07212">
      <w:pPr>
        <w:pStyle w:val="ListBullet2"/>
      </w:pPr>
      <w:r w:rsidRPr="00F07212">
        <w:t xml:space="preserve">used safe, low stress handling techniques when assessing each horse </w:t>
      </w:r>
    </w:p>
    <w:p w:rsidR="00000000" w:rsidRPr="00F07212" w:rsidP="00F07212">
      <w:pPr>
        <w:pStyle w:val="ListBullet2"/>
      </w:pPr>
      <w:r w:rsidRPr="00F07212">
        <w:t>advised on adjustments to feed regime in response to an identified issue for at least two horses</w:t>
      </w:r>
    </w:p>
    <w:p w:rsidR="00000000" w:rsidRPr="00F07212" w:rsidP="00F07212">
      <w:pPr>
        <w:pStyle w:val="ListBullet2"/>
      </w:pPr>
      <w:r w:rsidRPr="00F07212">
        <w:t>recorded nutrition and dietary information for each horse.</w:t>
      </w:r>
    </w:p>
    <w:p w:rsidR="00000000" w:rsidRPr="00F07212" w:rsidP="00F07212">
      <w:pPr>
        <w:pStyle w:val="AllowPageBreak"/>
      </w:pPr>
    </w:p>
    <w:p w:rsidR="00000000" w:rsidRPr="00F07212" w:rsidP="00F07212">
      <w:pPr>
        <w:pStyle w:val="Heading1"/>
      </w:pPr>
      <w:bookmarkStart w:id="3" w:name="O_1213215"/>
      <w:bookmarkEnd w:id="3"/>
      <w:r w:rsidRPr="00F07212">
        <w:t>Knowledge Evidence</w:t>
      </w:r>
    </w:p>
    <w:p w:rsidR="00000000" w:rsidRPr="00F07212" w:rsidP="00BD7232">
      <w:pPr>
        <w:pStyle w:val="BodyText"/>
      </w:pPr>
      <w:r w:rsidRPr="00F07212">
        <w:t>An individual must be able to demonstrate the knowledge requir</w:t>
      </w:r>
      <w:r w:rsidRPr="00F07212">
        <w:t>ed to perform the tasks outlined in the elements and performance criteria of this unit. This includes knowledge of:</w:t>
      </w:r>
    </w:p>
    <w:p w:rsidR="00000000" w:rsidRPr="00F07212" w:rsidP="00F07212">
      <w:pPr>
        <w:pStyle w:val="ListBullet"/>
      </w:pPr>
      <w:r w:rsidRPr="00F07212">
        <w:t>key principles of horse nutrition, including:</w:t>
      </w:r>
    </w:p>
    <w:p w:rsidR="00000000" w:rsidRPr="00F07212" w:rsidP="00F07212">
      <w:pPr>
        <w:pStyle w:val="ListBullet2"/>
      </w:pPr>
      <w:r w:rsidRPr="00F07212">
        <w:t>balanced diet</w:t>
      </w:r>
    </w:p>
    <w:p w:rsidR="00000000" w:rsidRPr="00F07212" w:rsidP="00F07212">
      <w:pPr>
        <w:pStyle w:val="ListBullet2"/>
      </w:pPr>
      <w:r w:rsidRPr="00F07212">
        <w:t>sufficient forage</w:t>
      </w:r>
    </w:p>
    <w:p w:rsidR="00000000" w:rsidRPr="00F07212" w:rsidP="00F07212">
      <w:pPr>
        <w:pStyle w:val="ListBullet2"/>
      </w:pPr>
      <w:r w:rsidRPr="00F07212">
        <w:t>frequency of feeding</w:t>
      </w:r>
    </w:p>
    <w:p w:rsidR="00000000" w:rsidRPr="00F07212" w:rsidP="00F07212">
      <w:pPr>
        <w:pStyle w:val="ListBullet"/>
      </w:pPr>
      <w:r w:rsidRPr="00F07212">
        <w:t>anatomical and physiological structure</w:t>
      </w:r>
      <w:r w:rsidRPr="00F07212">
        <w:t>s and functions of the horse digestive system, including:</w:t>
      </w:r>
    </w:p>
    <w:p w:rsidR="00000000" w:rsidRPr="00F07212" w:rsidP="00F07212">
      <w:pPr>
        <w:pStyle w:val="ListBullet2"/>
      </w:pPr>
      <w:r w:rsidRPr="00F07212">
        <w:t xml:space="preserve">features of non-ruminant herbivore digestive system </w:t>
      </w:r>
    </w:p>
    <w:p w:rsidR="00000000" w:rsidRPr="00F07212" w:rsidP="00F07212">
      <w:pPr>
        <w:pStyle w:val="ListBullet2"/>
      </w:pPr>
      <w:r w:rsidRPr="00F07212">
        <w:t>process of absorption and metabolism of nutrients</w:t>
      </w:r>
    </w:p>
    <w:p w:rsidR="00000000" w:rsidRPr="00F07212" w:rsidP="00F07212">
      <w:pPr>
        <w:pStyle w:val="ListBullet2"/>
      </w:pPr>
      <w:r w:rsidRPr="00F07212">
        <w:t>gastrointestinal tract disorders and colic</w:t>
      </w:r>
    </w:p>
    <w:p w:rsidR="00000000" w:rsidRPr="00F07212" w:rsidP="00F07212">
      <w:pPr>
        <w:pStyle w:val="ListBullet"/>
      </w:pPr>
      <w:r w:rsidRPr="00F07212">
        <w:t>methods used to assess and score horse condition and general health</w:t>
      </w:r>
    </w:p>
    <w:p w:rsidR="00000000" w:rsidRPr="00F07212" w:rsidP="00F07212">
      <w:pPr>
        <w:pStyle w:val="ListBullet"/>
      </w:pPr>
      <w:r w:rsidRPr="00F07212">
        <w:t>impact of class, age, workload and housing on diet and nutritional demands of horses</w:t>
      </w:r>
    </w:p>
    <w:p w:rsidR="00000000" w:rsidRPr="00F07212" w:rsidP="00F07212">
      <w:pPr>
        <w:pStyle w:val="ListBullet"/>
      </w:pPr>
      <w:r w:rsidRPr="00F07212">
        <w:t>factors affecting availability of nutrients to horses, including health issues</w:t>
      </w:r>
    </w:p>
    <w:p w:rsidR="00000000" w:rsidRPr="00F07212" w:rsidP="00F07212">
      <w:pPr>
        <w:pStyle w:val="ListBullet"/>
      </w:pPr>
      <w:r w:rsidRPr="00F07212">
        <w:t>features of a well-balan</w:t>
      </w:r>
      <w:r w:rsidRPr="00F07212">
        <w:t>ced diet, including nutritional elements</w:t>
      </w:r>
    </w:p>
    <w:p w:rsidR="00000000" w:rsidRPr="00F07212" w:rsidP="00F07212">
      <w:pPr>
        <w:pStyle w:val="ListBullet"/>
      </w:pPr>
      <w:r w:rsidRPr="00F07212">
        <w:t>signs of common nutritional deficiencies in horses, including:</w:t>
      </w:r>
    </w:p>
    <w:p w:rsidR="00000000" w:rsidRPr="00F07212" w:rsidP="00F07212">
      <w:pPr>
        <w:pStyle w:val="ListBullet2"/>
      </w:pPr>
      <w:r w:rsidRPr="00F07212">
        <w:t>poor condition, failure to thrive</w:t>
      </w:r>
    </w:p>
    <w:p w:rsidR="00000000" w:rsidRPr="00F07212" w:rsidP="00F07212">
      <w:pPr>
        <w:pStyle w:val="ListBullet2"/>
      </w:pPr>
      <w:r w:rsidRPr="00F07212">
        <w:t>dull coat</w:t>
      </w:r>
    </w:p>
    <w:p w:rsidR="00000000" w:rsidRPr="00F07212" w:rsidP="00F07212">
      <w:pPr>
        <w:pStyle w:val="ListBullet2"/>
      </w:pPr>
      <w:r w:rsidRPr="00F07212">
        <w:t>quidding</w:t>
      </w:r>
    </w:p>
    <w:p w:rsidR="00000000" w:rsidRPr="00F07212" w:rsidP="00F07212">
      <w:pPr>
        <w:pStyle w:val="ListBullet2"/>
      </w:pPr>
      <w:r w:rsidRPr="00F07212">
        <w:t>flaky or cracked hooves</w:t>
      </w:r>
    </w:p>
    <w:p w:rsidR="00000000" w:rsidRPr="00F07212" w:rsidP="00F07212">
      <w:pPr>
        <w:pStyle w:val="ListBullet"/>
      </w:pPr>
      <w:r w:rsidRPr="00F07212">
        <w:t>consequences of an unbalanced or nutrient deficient diet to horse functio</w:t>
      </w:r>
      <w:r w:rsidRPr="00F07212">
        <w:t>n, health and behaviour</w:t>
      </w:r>
    </w:p>
    <w:p w:rsidR="00000000" w:rsidRPr="00F07212" w:rsidP="00F07212">
      <w:pPr>
        <w:pStyle w:val="ListBullet"/>
      </w:pPr>
      <w:r w:rsidRPr="00F07212">
        <w:t>circumstances requiring referral to a veterinarian or equine service provider, including:</w:t>
      </w:r>
    </w:p>
    <w:p w:rsidR="00000000" w:rsidRPr="00F07212" w:rsidP="00F07212">
      <w:pPr>
        <w:pStyle w:val="ListBullet2"/>
      </w:pPr>
      <w:r w:rsidRPr="00F07212">
        <w:t>non-positive response to dietary change</w:t>
      </w:r>
    </w:p>
    <w:p w:rsidR="00000000" w:rsidRPr="00F07212" w:rsidP="00F07212">
      <w:pPr>
        <w:pStyle w:val="ListBullet2"/>
      </w:pPr>
      <w:r w:rsidRPr="00F07212">
        <w:t xml:space="preserve">evidence of physical, behavioural or allergic reactions </w:t>
      </w:r>
    </w:p>
    <w:p w:rsidR="00000000" w:rsidRPr="00F07212" w:rsidP="00F07212">
      <w:pPr>
        <w:pStyle w:val="ListBullet"/>
      </w:pPr>
      <w:r w:rsidRPr="00F07212">
        <w:t>common feed stuffs and supplements, includi</w:t>
      </w:r>
      <w:r w:rsidRPr="00F07212">
        <w:t>ng:</w:t>
      </w:r>
    </w:p>
    <w:p w:rsidR="00000000" w:rsidRPr="00F07212" w:rsidP="00F07212">
      <w:pPr>
        <w:pStyle w:val="ListBullet2"/>
      </w:pPr>
      <w:r w:rsidRPr="00F07212">
        <w:t>nutritional value</w:t>
      </w:r>
    </w:p>
    <w:p w:rsidR="00000000" w:rsidRPr="00F07212" w:rsidP="00F07212">
      <w:pPr>
        <w:pStyle w:val="ListBullet2"/>
      </w:pPr>
      <w:r w:rsidRPr="00F07212">
        <w:t xml:space="preserve">quality indicators </w:t>
      </w:r>
    </w:p>
    <w:p w:rsidR="00000000" w:rsidRPr="00F07212" w:rsidP="00F07212">
      <w:pPr>
        <w:pStyle w:val="ListBullet2"/>
      </w:pPr>
      <w:r w:rsidRPr="00F07212">
        <w:t xml:space="preserve">use of supplements and additives </w:t>
      </w:r>
    </w:p>
    <w:p w:rsidR="00000000" w:rsidRPr="00F07212" w:rsidP="00F07212">
      <w:pPr>
        <w:pStyle w:val="ListBullet2"/>
      </w:pPr>
      <w:r w:rsidRPr="00F07212">
        <w:t>prohibited substances, including for specific disciplines or competitions</w:t>
      </w:r>
    </w:p>
    <w:p w:rsidR="00000000" w:rsidRPr="00F07212" w:rsidP="00F07212">
      <w:pPr>
        <w:pStyle w:val="ListBullet"/>
      </w:pPr>
      <w:r w:rsidRPr="00F07212">
        <w:t xml:space="preserve">techniques for effective client or carer interactions, including clear advice, collaborative </w:t>
      </w:r>
      <w:r w:rsidRPr="00F07212">
        <w:t>communication and client confidentiality</w:t>
      </w:r>
    </w:p>
    <w:p w:rsidR="00000000" w:rsidRPr="00F07212" w:rsidP="00F07212">
      <w:pPr>
        <w:pStyle w:val="ListBullet"/>
      </w:pPr>
      <w:r w:rsidRPr="00F07212">
        <w:t>key requirements of current codes of practice and legislation and workplace procedures for advising on horse nutritional needs, including:</w:t>
      </w:r>
    </w:p>
    <w:p w:rsidR="00000000" w:rsidRPr="00F07212" w:rsidP="00F07212">
      <w:pPr>
        <w:pStyle w:val="ListBullet2"/>
      </w:pPr>
      <w:r w:rsidRPr="00F07212">
        <w:t>work, health and safety, including safely interacting with horses and use o</w:t>
      </w:r>
      <w:r w:rsidRPr="00F07212">
        <w:t xml:space="preserve">f personal protective equipment (PPE) </w:t>
      </w:r>
    </w:p>
    <w:p w:rsidR="00000000" w:rsidRPr="00F07212" w:rsidP="00F07212">
      <w:pPr>
        <w:pStyle w:val="ListBullet2"/>
      </w:pPr>
      <w:r w:rsidRPr="00F07212">
        <w:t>animal welfare, including safe, humane and ethical care of horses</w:t>
      </w:r>
    </w:p>
    <w:p w:rsidR="00000000" w:rsidRPr="00F07212" w:rsidP="00F07212">
      <w:pPr>
        <w:pStyle w:val="ListBullet2"/>
      </w:pPr>
      <w:r w:rsidRPr="00F07212">
        <w:t>workplace hygiene, infection control and biosecurity requirements.</w:t>
      </w:r>
    </w:p>
    <w:p w:rsidR="00000000" w:rsidRPr="00F07212" w:rsidP="00F07212">
      <w:pPr>
        <w:pStyle w:val="AllowPageBreak"/>
      </w:pPr>
    </w:p>
    <w:p w:rsidR="00000000" w:rsidRPr="00F07212" w:rsidP="00F07212">
      <w:pPr>
        <w:pStyle w:val="Heading1"/>
      </w:pPr>
      <w:bookmarkStart w:id="4" w:name="O_1213216"/>
      <w:bookmarkEnd w:id="4"/>
      <w:r w:rsidRPr="00F07212">
        <w:t>Assessment Conditions</w:t>
      </w:r>
    </w:p>
    <w:p w:rsidR="00000000" w:rsidRPr="00F07212" w:rsidP="00BD7232">
      <w:pPr>
        <w:pStyle w:val="BodyText"/>
      </w:pPr>
      <w:r w:rsidRPr="00F07212">
        <w:t>Assessment of the skills in this unit of co</w:t>
      </w:r>
      <w:r w:rsidRPr="00F07212">
        <w:t>mpetency must take place under the following conditions:</w:t>
      </w:r>
    </w:p>
    <w:p w:rsidR="00000000" w:rsidRPr="00F07212" w:rsidP="00F07212">
      <w:pPr>
        <w:pStyle w:val="ListBullet"/>
      </w:pPr>
      <w:r w:rsidRPr="00F07212">
        <w:t>physical conditions:</w:t>
      </w:r>
    </w:p>
    <w:p w:rsidR="00000000" w:rsidRPr="00F07212" w:rsidP="00F07212">
      <w:pPr>
        <w:pStyle w:val="ListBullet2"/>
      </w:pPr>
      <w:r w:rsidRPr="00F07212">
        <w:t>an equine workplace or an environment that accurately represents workplace conditions</w:t>
      </w:r>
    </w:p>
    <w:p w:rsidR="00000000" w:rsidRPr="00F07212" w:rsidP="00F07212">
      <w:pPr>
        <w:pStyle w:val="ListBullet"/>
      </w:pPr>
      <w:r w:rsidRPr="00F07212">
        <w:t>resources, equipment and materials:</w:t>
      </w:r>
    </w:p>
    <w:p w:rsidR="00000000" w:rsidRPr="00F07212" w:rsidP="00F07212">
      <w:pPr>
        <w:pStyle w:val="ListBullet2"/>
      </w:pPr>
      <w:r w:rsidRPr="00F07212">
        <w:t>live horses, with three different nutritional requirements, assessed as suitable for the experience and skills of the individual</w:t>
      </w:r>
    </w:p>
    <w:p w:rsidR="00000000" w:rsidRPr="00F07212" w:rsidP="00F07212">
      <w:pPr>
        <w:pStyle w:val="ListBullet2"/>
      </w:pPr>
      <w:r w:rsidRPr="00F07212">
        <w:t>gear and equipment for horses, and PPE for individual</w:t>
      </w:r>
    </w:p>
    <w:p w:rsidR="00000000" w:rsidRPr="00F07212" w:rsidP="00F07212">
      <w:pPr>
        <w:pStyle w:val="ListBullet2"/>
      </w:pPr>
      <w:r w:rsidRPr="00F07212">
        <w:t>record-keeping formats</w:t>
      </w:r>
    </w:p>
    <w:p w:rsidR="00000000" w:rsidRPr="00F07212" w:rsidP="00F07212">
      <w:pPr>
        <w:pStyle w:val="ListBullet"/>
      </w:pPr>
      <w:r w:rsidRPr="00F07212">
        <w:t>relationships:</w:t>
      </w:r>
    </w:p>
    <w:p w:rsidR="00000000" w:rsidRPr="00F07212" w:rsidP="00F07212">
      <w:pPr>
        <w:pStyle w:val="ListBullet2"/>
      </w:pPr>
      <w:r w:rsidRPr="00F07212">
        <w:t>clients or carers as specified in</w:t>
      </w:r>
      <w:r w:rsidRPr="00F07212">
        <w:t xml:space="preserve"> the performance evidence.</w:t>
      </w:r>
    </w:p>
    <w:p w:rsidR="00000000" w:rsidRPr="00F07212" w:rsidP="00BD7232">
      <w:pPr>
        <w:pStyle w:val="BodyText"/>
      </w:pPr>
      <w:r w:rsidRPr="00F07212">
        <w:t xml:space="preserve">The </w:t>
      </w:r>
      <w:r w:rsidRPr="00F07212">
        <w:rPr>
          <w:rStyle w:val="Emphasis"/>
        </w:rPr>
        <w:t>Companion Volume:</w:t>
      </w:r>
      <w:r w:rsidRPr="00F07212">
        <w:t xml:space="preserve"> </w:t>
      </w:r>
      <w:r w:rsidRPr="00F07212">
        <w:rPr>
          <w:rStyle w:val="Emphasis"/>
        </w:rPr>
        <w:t>User Guide: Safety in Equine Training</w:t>
      </w:r>
      <w:r w:rsidRPr="00F07212">
        <w:t xml:space="preserve"> provides advice and sample templates to assist assessors with the risk assessments that should be undertaken to help ensure the safety of all involved in the assessment.</w:t>
      </w:r>
    </w:p>
    <w:p w:rsidR="00000000" w:rsidRPr="00F07212" w:rsidP="00BD7232">
      <w:pPr>
        <w:pStyle w:val="BodyText"/>
      </w:pPr>
      <w:r w:rsidRPr="00F07212">
        <w:t>Assessors of this unit must satisfy the requirements for assessors in applicable vocational education and training legislation, frameworks and/or standards.</w:t>
      </w:r>
    </w:p>
    <w:p w:rsidR="00000000" w:rsidRPr="00F07212" w:rsidP="00F07212">
      <w:pPr>
        <w:pStyle w:val="Heading1"/>
      </w:pPr>
      <w:bookmarkStart w:id="5" w:name="O_1213219"/>
      <w:bookmarkEnd w:id="5"/>
      <w:r w:rsidRPr="00F07212">
        <w:t>Links</w:t>
      </w:r>
    </w:p>
    <w:p w:rsidR="00000000" w:rsidRPr="00F07212" w:rsidP="00BD7232">
      <w:pPr>
        <w:pStyle w:val="BodyText"/>
      </w:pPr>
      <w:r w:rsidRPr="00F07212">
        <w:t>Companion Volumes, including Implementation Guides, are available at VETN</w:t>
      </w:r>
      <w:r w:rsidRPr="00F07212">
        <w:t xml:space="preserve">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24F5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07212" w:rsidP="00F07212"/>
    <w:sectPr w:rsidSect="00F072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2" w:rsidRPr="00BD7232" w:rsidP="00BD7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32" w:rsidP="00F07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232" w:rsidP="00F07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7232" w:rsidP="00F07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212" w:rsidRPr="00BD7232" w:rsidP="00BD7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232" w:rsidRPr="002D2AF8" w:rsidP="00F07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ACMEQU417 Advise on horse nutritional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D7232" w:rsidP="00F07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1C7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504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07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212"/>
  </w:style>
  <w:style w:type="character" w:customStyle="1" w:styleId="Heading1Char">
    <w:name w:val="Heading 1 Char"/>
    <w:basedOn w:val="DefaultParagraphFont"/>
    <w:link w:val="Heading1"/>
    <w:rsid w:val="00F07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2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2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7212"/>
    <w:rPr>
      <w:i/>
    </w:rPr>
  </w:style>
  <w:style w:type="paragraph" w:customStyle="1" w:styleId="SuperHeading">
    <w:name w:val="SuperHeading"/>
    <w:basedOn w:val="Normal"/>
    <w:rsid w:val="00F07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7212"/>
    <w:rPr>
      <w:b/>
    </w:rPr>
  </w:style>
  <w:style w:type="character" w:customStyle="1" w:styleId="Heading2Char">
    <w:name w:val="Heading 2 Char"/>
    <w:basedOn w:val="DefaultParagraphFont"/>
    <w:link w:val="Heading2"/>
    <w:rsid w:val="00F07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212"/>
    <w:rPr>
      <w:b/>
      <w:spacing w:val="0"/>
    </w:rPr>
  </w:style>
  <w:style w:type="paragraph" w:customStyle="1" w:styleId="SuperTitle">
    <w:name w:val="SuperTitle"/>
    <w:basedOn w:val="Title"/>
    <w:rsid w:val="00F07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2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212"/>
  </w:style>
  <w:style w:type="paragraph" w:styleId="TableofFigures">
    <w:name w:val="table of figures"/>
    <w:basedOn w:val="Normal"/>
    <w:next w:val="Normal"/>
    <w:semiHidden/>
    <w:rsid w:val="00F07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2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212"/>
    <w:rPr>
      <w:rFonts w:ascii="Wingdings" w:hAnsi="Wingdings"/>
    </w:rPr>
  </w:style>
  <w:style w:type="paragraph" w:customStyle="1" w:styleId="TableHeading">
    <w:name w:val="Table Heading"/>
    <w:basedOn w:val="HeadingBase"/>
    <w:rsid w:val="00F07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212"/>
    <w:rPr>
      <w:color w:val="0033CC"/>
      <w:u w:val="none"/>
    </w:rPr>
  </w:style>
  <w:style w:type="paragraph" w:customStyle="1" w:styleId="BodyTextRight">
    <w:name w:val="Body Text Right"/>
    <w:basedOn w:val="BodyText"/>
    <w:rsid w:val="00F07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212"/>
    <w:rPr>
      <w:sz w:val="32"/>
    </w:rPr>
  </w:style>
  <w:style w:type="paragraph" w:customStyle="1" w:styleId="HeadingProcedure">
    <w:name w:val="Heading Procedure"/>
    <w:basedOn w:val="HeadingBase"/>
    <w:next w:val="Normal"/>
    <w:rsid w:val="00F07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212"/>
    <w:pPr>
      <w:spacing w:before="60" w:after="60"/>
    </w:pPr>
  </w:style>
  <w:style w:type="paragraph" w:styleId="ListContinue">
    <w:name w:val="List Continue"/>
    <w:basedOn w:val="List"/>
    <w:rsid w:val="00F07212"/>
    <w:pPr>
      <w:ind w:firstLine="0"/>
    </w:pPr>
  </w:style>
  <w:style w:type="paragraph" w:customStyle="1" w:styleId="ListNote">
    <w:name w:val="List Note"/>
    <w:basedOn w:val="List"/>
    <w:rsid w:val="00F07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212"/>
    <w:rPr>
      <w:rFonts w:ascii="Courier New" w:hAnsi="Courier New"/>
    </w:rPr>
  </w:style>
  <w:style w:type="paragraph" w:customStyle="1" w:styleId="NoteBullet">
    <w:name w:val="Note Bullet"/>
    <w:basedOn w:val="Note"/>
    <w:rsid w:val="00F07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2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212"/>
    <w:rPr>
      <w:b/>
      <w:smallCaps/>
    </w:rPr>
  </w:style>
  <w:style w:type="paragraph" w:customStyle="1" w:styleId="TableListNumber">
    <w:name w:val="Table List Number"/>
    <w:basedOn w:val="ListNumber"/>
    <w:rsid w:val="00F07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212"/>
    <w:pPr>
      <w:numPr>
        <w:numId w:val="9"/>
      </w:numPr>
    </w:pPr>
  </w:style>
  <w:style w:type="paragraph" w:customStyle="1" w:styleId="ListAlpha2">
    <w:name w:val="List Alpha 2"/>
    <w:basedOn w:val="List2"/>
    <w:rsid w:val="00F07212"/>
    <w:pPr>
      <w:numPr>
        <w:numId w:val="8"/>
      </w:numPr>
    </w:pPr>
  </w:style>
  <w:style w:type="paragraph" w:styleId="List2">
    <w:name w:val="List 2"/>
    <w:basedOn w:val="BodyText"/>
    <w:rsid w:val="00F07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2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2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212"/>
    <w:pPr>
      <w:numPr>
        <w:numId w:val="4"/>
      </w:numPr>
    </w:pPr>
  </w:style>
  <w:style w:type="paragraph" w:styleId="ListContinue2">
    <w:name w:val="List Continue 2"/>
    <w:basedOn w:val="List2"/>
    <w:rsid w:val="00F07212"/>
    <w:pPr>
      <w:ind w:firstLine="0"/>
    </w:pPr>
  </w:style>
  <w:style w:type="paragraph" w:styleId="ListContinue3">
    <w:name w:val="List Continue 3"/>
    <w:basedOn w:val="List3"/>
    <w:rsid w:val="00F07212"/>
    <w:pPr>
      <w:ind w:left="1021" w:firstLine="0"/>
    </w:pPr>
  </w:style>
  <w:style w:type="paragraph" w:styleId="ListContinue4">
    <w:name w:val="List Continue 4"/>
    <w:basedOn w:val="List4"/>
    <w:rsid w:val="00F07212"/>
    <w:pPr>
      <w:ind w:firstLine="0"/>
    </w:pPr>
  </w:style>
  <w:style w:type="paragraph" w:styleId="ListContinue5">
    <w:name w:val="List Continue 5"/>
    <w:basedOn w:val="List5"/>
    <w:rsid w:val="00F07212"/>
    <w:pPr>
      <w:ind w:firstLine="0"/>
    </w:pPr>
  </w:style>
  <w:style w:type="paragraph" w:styleId="ListNumber3">
    <w:name w:val="List Number 3"/>
    <w:basedOn w:val="List3"/>
    <w:rsid w:val="00F07212"/>
    <w:pPr>
      <w:numPr>
        <w:numId w:val="5"/>
      </w:numPr>
    </w:pPr>
  </w:style>
  <w:style w:type="paragraph" w:styleId="ListNumber4">
    <w:name w:val="List Number 4"/>
    <w:basedOn w:val="List4"/>
    <w:rsid w:val="00F07212"/>
    <w:pPr>
      <w:numPr>
        <w:numId w:val="6"/>
      </w:numPr>
    </w:pPr>
  </w:style>
  <w:style w:type="paragraph" w:styleId="ListNumber5">
    <w:name w:val="List Number 5"/>
    <w:basedOn w:val="List5"/>
    <w:rsid w:val="00F07212"/>
    <w:pPr>
      <w:numPr>
        <w:numId w:val="7"/>
      </w:numPr>
    </w:pPr>
  </w:style>
  <w:style w:type="paragraph" w:styleId="BlockText">
    <w:name w:val="Block Text"/>
    <w:basedOn w:val="Normal"/>
    <w:rsid w:val="00F07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212"/>
    <w:rPr>
      <w:sz w:val="16"/>
      <w:vertAlign w:val="superscript"/>
    </w:rPr>
  </w:style>
  <w:style w:type="character" w:customStyle="1" w:styleId="Symbols">
    <w:name w:val="Symbols"/>
    <w:basedOn w:val="DefaultParagraphFont"/>
    <w:rsid w:val="00F07212"/>
    <w:rPr>
      <w:rFonts w:ascii="Symbol" w:hAnsi="Symbol"/>
    </w:rPr>
  </w:style>
  <w:style w:type="character" w:customStyle="1" w:styleId="MenuOptions">
    <w:name w:val="Menu Options"/>
    <w:basedOn w:val="DefaultParagraphFont"/>
    <w:rsid w:val="00F07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212"/>
    <w:rPr>
      <w:b/>
    </w:rPr>
  </w:style>
  <w:style w:type="character" w:customStyle="1" w:styleId="Underlined">
    <w:name w:val="Underlined"/>
    <w:basedOn w:val="DefaultParagraphFont"/>
    <w:rsid w:val="00F07212"/>
    <w:rPr>
      <w:u w:val="single"/>
    </w:rPr>
  </w:style>
  <w:style w:type="paragraph" w:customStyle="1" w:styleId="TableBodyTextRight">
    <w:name w:val="Table Body Text Right"/>
    <w:basedOn w:val="TableBodyText"/>
    <w:rsid w:val="00F07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212"/>
    <w:rPr>
      <w:sz w:val="18"/>
    </w:rPr>
  </w:style>
  <w:style w:type="paragraph" w:customStyle="1" w:styleId="BodySmallRight">
    <w:name w:val="Body Small Right"/>
    <w:basedOn w:val="BodyTextRight"/>
    <w:rsid w:val="00F07212"/>
    <w:rPr>
      <w:sz w:val="18"/>
      <w:szCs w:val="18"/>
    </w:rPr>
  </w:style>
  <w:style w:type="paragraph" w:customStyle="1" w:styleId="MarginEdition">
    <w:name w:val="Margin Edition"/>
    <w:basedOn w:val="MarginNote"/>
    <w:rsid w:val="00F07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212"/>
    <w:rPr>
      <w:sz w:val="2"/>
      <w:szCs w:val="2"/>
    </w:rPr>
  </w:style>
  <w:style w:type="character" w:customStyle="1" w:styleId="Small">
    <w:name w:val="Small"/>
    <w:basedOn w:val="DefaultParagraphFont"/>
    <w:rsid w:val="00F07212"/>
    <w:rPr>
      <w:sz w:val="16"/>
    </w:rPr>
  </w:style>
  <w:style w:type="paragraph" w:customStyle="1" w:styleId="WideTable">
    <w:name w:val="Wide Table"/>
    <w:basedOn w:val="Normal"/>
    <w:rsid w:val="00F07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212"/>
  </w:style>
  <w:style w:type="paragraph" w:styleId="Quote">
    <w:name w:val="Quote"/>
    <w:basedOn w:val="Heading1"/>
    <w:link w:val="QuoteChar"/>
    <w:qFormat/>
    <w:rsid w:val="00F07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212"/>
    <w:pPr>
      <w:pageBreakBefore/>
    </w:pPr>
  </w:style>
  <w:style w:type="paragraph" w:customStyle="1" w:styleId="Border">
    <w:name w:val="Border"/>
    <w:basedOn w:val="Normal"/>
    <w:qFormat/>
    <w:rsid w:val="00F07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212"/>
    <w:rPr>
      <w:u w:val="single"/>
    </w:rPr>
  </w:style>
  <w:style w:type="character" w:customStyle="1" w:styleId="BoldandItalics">
    <w:name w:val="Bold and Italics"/>
    <w:qFormat/>
    <w:rsid w:val="00F07212"/>
    <w:rPr>
      <w:b/>
      <w:i/>
      <w:u w:val="none"/>
    </w:rPr>
  </w:style>
  <w:style w:type="paragraph" w:styleId="BalloonText">
    <w:name w:val="Balloon Text"/>
    <w:basedOn w:val="Normal"/>
    <w:link w:val="BalloonTextChar"/>
    <w:rsid w:val="00F07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2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7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3593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ACMEQU417 Advise on horse nutritional needs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