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568" w:rsidP="002B55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ACMEQU415 Relate musculoskeletal system to horse conformation and movement</w:t>
      </w:r>
      <w:r>
        <w:fldChar w:fldCharType="end"/>
      </w:r>
    </w:p>
    <w:p w:rsidR="002B5568" w:rsidP="002B5568">
      <w:pPr>
        <w:pStyle w:val="Version"/>
        <w:sectPr w:rsidSect="007E2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8E6" w:rsidP="007E28E6">
      <w:pPr>
        <w:pStyle w:val="SuperHeading"/>
      </w:pPr>
      <w:r w:rsidRPr="007E28E6">
        <w:t>ACMEQU415 Relate musculoskeletal system to horse conformation and movement</w:t>
      </w:r>
    </w:p>
    <w:p w:rsidR="00000000" w:rsidRPr="007E28E6" w:rsidP="007E28E6">
      <w:pPr>
        <w:pStyle w:val="Heading1"/>
      </w:pPr>
      <w:bookmarkStart w:id="1" w:name="O_1213165"/>
      <w:bookmarkEnd w:id="1"/>
      <w:r w:rsidRPr="007E28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Bold"/>
              <w:rPr>
                <w:lang w:val="en-NZ"/>
              </w:rPr>
            </w:pPr>
            <w:r w:rsidRPr="007E28E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Bold"/>
              <w:rPr>
                <w:lang w:val="en-NZ"/>
              </w:rPr>
            </w:pPr>
            <w:r w:rsidRPr="007E28E6">
              <w:t>Comments</w:t>
            </w:r>
          </w:p>
        </w:tc>
      </w:tr>
      <w:tr w:rsidTr="007E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8E6" w:rsidP="007E28E6">
            <w:pPr>
              <w:pStyle w:val="BodyText"/>
            </w:pPr>
            <w:r w:rsidRPr="007E28E6">
              <w:t>This version released with ACM Animal Care and Management Training Package Version 5.0.</w:t>
            </w:r>
          </w:p>
        </w:tc>
      </w:tr>
    </w:tbl>
    <w:p w:rsidR="00000000" w:rsidRPr="007E28E6" w:rsidP="007E28E6">
      <w:pPr>
        <w:pStyle w:val="BodyText"/>
      </w:pPr>
    </w:p>
    <w:p w:rsidR="00000000" w:rsidRPr="007E28E6" w:rsidP="007E28E6">
      <w:pPr>
        <w:pStyle w:val="AllowPageBreak"/>
      </w:pPr>
    </w:p>
    <w:p w:rsidR="00000000" w:rsidRPr="007E28E6" w:rsidP="007E28E6">
      <w:pPr>
        <w:pStyle w:val="Heading1"/>
      </w:pPr>
      <w:bookmarkStart w:id="2" w:name="O_1213166"/>
      <w:bookmarkEnd w:id="2"/>
      <w:r w:rsidRPr="007E28E6">
        <w:t>Application</w:t>
      </w:r>
    </w:p>
    <w:p w:rsidR="00000000" w:rsidRPr="007E28E6" w:rsidP="002B5568">
      <w:pPr>
        <w:pStyle w:val="BodyText"/>
      </w:pPr>
      <w:r w:rsidRPr="007E28E6">
        <w:t xml:space="preserve">This unit of competency describes the skills and knowledge required to assess and evaluate the physical condition, conformation and movement of horses and/or other equines. It covers the implications of conformation on performance, development </w:t>
      </w:r>
      <w:r w:rsidRPr="007E28E6">
        <w:t>of corrective measures and recommendations for horses in relation to their intended purpose.</w:t>
      </w:r>
    </w:p>
    <w:p w:rsidR="00000000" w:rsidRPr="007E28E6" w:rsidP="002B5568">
      <w:pPr>
        <w:pStyle w:val="BodyText"/>
      </w:pPr>
      <w:r w:rsidRPr="007E28E6">
        <w:t>The unit applies to individuals who have experience working with a range of horses in senior roles within a horse establishment or in a specialist technical equine</w:t>
      </w:r>
      <w:r w:rsidRPr="007E28E6">
        <w:t xml:space="preserve"> field. They work autonomously, analyse information, recommend solutions to routine and at times complex problems, and convey information to others.</w:t>
      </w:r>
    </w:p>
    <w:p w:rsidR="00000000" w:rsidRPr="007E28E6" w:rsidP="002B5568">
      <w:pPr>
        <w:pStyle w:val="BodyText"/>
      </w:pPr>
      <w:r w:rsidRPr="007E28E6">
        <w:t>Commonwealth and state/territory health and safety and animal welfare legislation, regulations and codes of</w:t>
      </w:r>
      <w:r w:rsidRPr="007E28E6">
        <w:t xml:space="preserve"> practice relevant to interacting with horses apply to workers in this industry. Requirements vary between industry sectors and jurisdictions.</w:t>
      </w:r>
    </w:p>
    <w:p w:rsidR="00000000" w:rsidRPr="007E28E6" w:rsidP="002B5568">
      <w:pPr>
        <w:pStyle w:val="BodyText"/>
      </w:pPr>
      <w:r w:rsidRPr="007E28E6">
        <w:t>No licensing, legislative or certification requirements apply to this unit at the time of publication.</w:t>
      </w:r>
    </w:p>
    <w:p w:rsidR="00000000" w:rsidRPr="007E28E6" w:rsidP="007E28E6">
      <w:pPr>
        <w:pStyle w:val="Heading1"/>
      </w:pPr>
      <w:bookmarkStart w:id="3" w:name="O_1213167"/>
      <w:bookmarkEnd w:id="3"/>
      <w:r w:rsidRPr="007E28E6">
        <w:t>Pre-requisite Unit</w:t>
      </w:r>
    </w:p>
    <w:p w:rsidR="00000000" w:rsidRPr="007E28E6" w:rsidP="002B5568">
      <w:pPr>
        <w:pStyle w:val="BodyText"/>
      </w:pPr>
      <w:r w:rsidRPr="007E28E6">
        <w:t>Nil</w:t>
      </w:r>
    </w:p>
    <w:p w:rsidR="00000000" w:rsidRPr="007E28E6" w:rsidP="007E28E6">
      <w:pPr>
        <w:pStyle w:val="Heading1"/>
      </w:pPr>
      <w:bookmarkStart w:id="4" w:name="O_1213169"/>
      <w:bookmarkEnd w:id="4"/>
      <w:r w:rsidRPr="007E28E6">
        <w:t>Unit Sector</w:t>
      </w:r>
    </w:p>
    <w:p w:rsidR="00000000" w:rsidRPr="007E28E6" w:rsidP="002B5568">
      <w:pPr>
        <w:pStyle w:val="BodyText"/>
      </w:pPr>
      <w:r w:rsidRPr="007E28E6">
        <w:t>Equine (EQU)</w:t>
      </w:r>
    </w:p>
    <w:p w:rsidR="00000000" w:rsidRPr="007E28E6" w:rsidP="007E28E6">
      <w:pPr>
        <w:pStyle w:val="Heading1"/>
      </w:pPr>
      <w:bookmarkStart w:id="5" w:name="O_1213170"/>
      <w:bookmarkEnd w:id="5"/>
      <w:r w:rsidRPr="007E28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5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Bold"/>
              <w:rPr>
                <w:lang w:val="en-NZ"/>
              </w:rPr>
            </w:pPr>
            <w:r w:rsidRPr="007E28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Bold"/>
              <w:rPr>
                <w:lang w:val="en-NZ"/>
              </w:rPr>
            </w:pPr>
            <w:r w:rsidRPr="007E28E6">
              <w:t>Performance Criteria</w:t>
            </w:r>
          </w:p>
        </w:tc>
      </w:tr>
      <w:tr w:rsidTr="002B5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8E6" w:rsidP="007E28E6">
            <w:pPr>
              <w:pStyle w:val="BodyText"/>
            </w:pPr>
            <w:r w:rsidRPr="007E28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5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1. Determine structural features of horse musculoskeletal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8E6" w:rsidP="007E28E6">
            <w:pPr>
              <w:pStyle w:val="BodyText"/>
            </w:pPr>
            <w:r w:rsidRPr="007E28E6">
              <w:t>1.1 Establish a safe area to observe and examine horses, incorporating risk assessment and con</w:t>
            </w:r>
            <w:r w:rsidRPr="007E28E6">
              <w:t>trol measures</w:t>
            </w:r>
          </w:p>
          <w:p w:rsidR="00000000" w:rsidRPr="007E28E6" w:rsidP="007E28E6">
            <w:pPr>
              <w:pStyle w:val="BodyText"/>
            </w:pPr>
            <w:r w:rsidRPr="007E28E6">
              <w:t xml:space="preserve">1.2 Observe and assess horse skeletal structure, posture and proportions </w:t>
            </w:r>
          </w:p>
          <w:p w:rsidR="00000000" w:rsidRPr="007E28E6" w:rsidP="007E28E6">
            <w:pPr>
              <w:pStyle w:val="BodyText"/>
            </w:pPr>
            <w:r w:rsidRPr="007E28E6">
              <w:t xml:space="preserve">1.3 Assess size, shape and key features of the head, neck, back and hind quarters </w:t>
            </w:r>
          </w:p>
          <w:p w:rsidR="00000000" w:rsidRPr="007E28E6" w:rsidP="007E28E6">
            <w:pPr>
              <w:pStyle w:val="BodyText"/>
            </w:pPr>
            <w:r w:rsidRPr="007E28E6">
              <w:t>1.4 Examine structural features of fore and hind legs, and hooves</w:t>
            </w:r>
          </w:p>
          <w:p w:rsidR="00000000" w:rsidRPr="007E28E6" w:rsidP="007E28E6">
            <w:pPr>
              <w:pStyle w:val="BodyText"/>
            </w:pPr>
            <w:r w:rsidRPr="007E28E6">
              <w:t>1.5 Identify desirable and undesirable conformation characteristics</w:t>
            </w:r>
          </w:p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1.6 Compare horse conformation to features associated with various work, sport or recreational activities</w:t>
            </w:r>
          </w:p>
        </w:tc>
      </w:tr>
      <w:tr w:rsidTr="002B5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2. Determine horse muscling and relationship to movement and biomechanics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8E6" w:rsidP="007E28E6">
            <w:pPr>
              <w:pStyle w:val="BodyText"/>
            </w:pPr>
            <w:r w:rsidRPr="007E28E6">
              <w:t>2.1 Obs</w:t>
            </w:r>
            <w:r w:rsidRPr="007E28E6">
              <w:t xml:space="preserve">erve horse from different angles and evaluate muscling at key points </w:t>
            </w:r>
          </w:p>
          <w:p w:rsidR="00000000" w:rsidRPr="007E28E6" w:rsidP="007E28E6">
            <w:pPr>
              <w:pStyle w:val="BodyText"/>
            </w:pPr>
            <w:r w:rsidRPr="007E28E6">
              <w:t>2.2 Identify location of joints, muscles, tendons and ligaments of significance to movement</w:t>
            </w:r>
          </w:p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 xml:space="preserve">2.3 Relate basic biomechanics to horse balance and movement when static and in motion </w:t>
            </w:r>
          </w:p>
        </w:tc>
      </w:tr>
      <w:tr w:rsidTr="002B5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3. Ass</w:t>
            </w:r>
            <w:r w:rsidRPr="007E28E6">
              <w:t xml:space="preserve">ess horse conformation and movement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8E6" w:rsidP="007E28E6">
            <w:pPr>
              <w:pStyle w:val="BodyText"/>
            </w:pPr>
            <w:r w:rsidRPr="007E28E6">
              <w:t xml:space="preserve">3.1 Determine the impact of age on horse growth rates and stages of development </w:t>
            </w:r>
          </w:p>
          <w:p w:rsidR="00000000" w:rsidRPr="007E28E6" w:rsidP="007E28E6">
            <w:pPr>
              <w:pStyle w:val="BodyText"/>
            </w:pPr>
            <w:r w:rsidRPr="007E28E6">
              <w:t>3.2 Assess horse conformation and identify structural differences in physical appearance and muscling between conditioned and unconditione</w:t>
            </w:r>
            <w:r w:rsidRPr="007E28E6">
              <w:t xml:space="preserve">d horses </w:t>
            </w:r>
          </w:p>
          <w:p w:rsidR="00000000" w:rsidRPr="007E28E6" w:rsidP="007E28E6">
            <w:pPr>
              <w:pStyle w:val="BodyText"/>
            </w:pPr>
            <w:r w:rsidRPr="007E28E6">
              <w:t>3.3 Observe horse movement in different gaits, and identify any irregularities with and without a saddle and/or associated gear</w:t>
            </w:r>
          </w:p>
          <w:p w:rsidR="00000000" w:rsidRPr="007E28E6" w:rsidP="007E28E6">
            <w:pPr>
              <w:pStyle w:val="BodyText"/>
            </w:pPr>
            <w:r w:rsidRPr="007E28E6">
              <w:t>3.4 Identify effects of overtraining, exercise and injury on musculoskeletal system</w:t>
            </w:r>
          </w:p>
          <w:p w:rsidR="00000000" w:rsidRPr="007E28E6" w:rsidP="007E28E6">
            <w:pPr>
              <w:pStyle w:val="BodyText"/>
            </w:pPr>
            <w:r w:rsidRPr="007E28E6">
              <w:t>3.5 Assess suitability of conforma</w:t>
            </w:r>
            <w:r w:rsidRPr="007E28E6">
              <w:t>tion and anatomy specific to the choice of gear and equipment</w:t>
            </w:r>
          </w:p>
          <w:p w:rsidR="00000000" w:rsidRPr="007E28E6" w:rsidP="007E28E6">
            <w:pPr>
              <w:pStyle w:val="BodyText"/>
            </w:pPr>
            <w:r w:rsidRPr="007E28E6">
              <w:t xml:space="preserve">3.6 Identify where injury or inhibited movement is attributed to gear and equipment </w:t>
            </w:r>
          </w:p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3.7 Identify issues where referral to an equine service provider is recommended</w:t>
            </w:r>
          </w:p>
        </w:tc>
      </w:tr>
      <w:tr w:rsidTr="002B55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4. Determine horse suitabili</w:t>
            </w:r>
            <w:r w:rsidRPr="007E28E6">
              <w:t>ty for intended purpose or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8E6" w:rsidP="007E28E6">
            <w:pPr>
              <w:pStyle w:val="BodyText"/>
            </w:pPr>
            <w:r w:rsidRPr="007E28E6">
              <w:t xml:space="preserve">4.1 Identify intended purpose or activity planned for horse, and assess suitability based on evaluation of conformation, movement and physical condition </w:t>
            </w:r>
          </w:p>
          <w:p w:rsidR="00000000" w:rsidRPr="007E28E6" w:rsidP="007E28E6">
            <w:pPr>
              <w:pStyle w:val="BodyText"/>
            </w:pPr>
            <w:r w:rsidRPr="007E28E6">
              <w:t xml:space="preserve">4.2 Make recommendations to optimise horse condition and movement </w:t>
            </w:r>
            <w:r w:rsidRPr="007E28E6">
              <w:t>for intended purpose or activity</w:t>
            </w:r>
          </w:p>
          <w:p w:rsidR="00000000" w:rsidRPr="007E28E6" w:rsidP="007E28E6">
            <w:pPr>
              <w:pStyle w:val="BodyText"/>
            </w:pPr>
            <w:r w:rsidRPr="007E28E6">
              <w:t>4.3 Convey information and recommendations relating to horse conformation, movement and physical condition to relevant personnel</w:t>
            </w:r>
          </w:p>
        </w:tc>
      </w:tr>
    </w:tbl>
    <w:p w:rsidR="00000000" w:rsidRPr="007E28E6" w:rsidP="007E28E6">
      <w:pPr>
        <w:pStyle w:val="BodyText"/>
      </w:pPr>
    </w:p>
    <w:p w:rsidR="00000000" w:rsidRPr="007E28E6" w:rsidP="007E28E6">
      <w:pPr>
        <w:pStyle w:val="AllowPageBreak"/>
      </w:pPr>
    </w:p>
    <w:p w:rsidR="00000000" w:rsidRPr="007E28E6" w:rsidP="007E28E6">
      <w:pPr>
        <w:pStyle w:val="Heading1"/>
      </w:pPr>
      <w:bookmarkStart w:id="6" w:name="O_1213171"/>
      <w:bookmarkEnd w:id="6"/>
      <w:r w:rsidRPr="007E28E6">
        <w:t>Foundation Skills</w:t>
      </w:r>
    </w:p>
    <w:p w:rsidR="00000000" w:rsidRPr="002B5568" w:rsidP="002B5568">
      <w:pPr>
        <w:pStyle w:val="BodyText"/>
        <w:rPr>
          <w:i/>
        </w:rPr>
      </w:pPr>
      <w:r w:rsidRPr="002B556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Bold"/>
              <w:rPr>
                <w:lang w:val="en-NZ"/>
              </w:rPr>
            </w:pPr>
            <w:r w:rsidRPr="007E28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Bold"/>
              <w:rPr>
                <w:lang w:val="en-NZ"/>
              </w:rPr>
            </w:pPr>
            <w:r w:rsidRPr="007E28E6">
              <w:t>Description</w:t>
            </w:r>
          </w:p>
        </w:tc>
      </w:tr>
      <w:tr w:rsidTr="007E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ListBullet"/>
              <w:rPr>
                <w:lang w:val="en-NZ"/>
              </w:rPr>
            </w:pPr>
            <w:r w:rsidRPr="007E28E6">
              <w:t>Interpret and analyse anatomical dia</w:t>
            </w:r>
            <w:r w:rsidRPr="007E28E6">
              <w:t>grams and textual information from a variety of sources</w:t>
            </w:r>
          </w:p>
        </w:tc>
      </w:tr>
      <w:tr w:rsidTr="007E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8E6" w:rsidP="007E28E6">
            <w:pPr>
              <w:pStyle w:val="ListBullet"/>
            </w:pPr>
            <w:r w:rsidRPr="007E28E6">
              <w:t xml:space="preserve">Record observations using print-based and/or digital formats </w:t>
            </w:r>
          </w:p>
          <w:p w:rsidR="00000000" w:rsidP="007E28E6">
            <w:pPr>
              <w:pStyle w:val="ListBullet"/>
              <w:rPr>
                <w:lang w:val="en-NZ"/>
              </w:rPr>
            </w:pPr>
            <w:r w:rsidRPr="007E28E6">
              <w:t>Use objective, industry standard terminology to describe horse conformation and movement</w:t>
            </w:r>
          </w:p>
        </w:tc>
      </w:tr>
      <w:tr w:rsidTr="007E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8E6" w:rsidP="007E28E6">
            <w:pPr>
              <w:pStyle w:val="ListBullet"/>
            </w:pPr>
            <w:r w:rsidRPr="007E28E6">
              <w:t xml:space="preserve">Explain complex anatomical and scientific concepts using language suitable to audience to convey information and requirements </w:t>
            </w:r>
          </w:p>
          <w:p w:rsidR="00000000" w:rsidRPr="007E28E6" w:rsidP="007E28E6">
            <w:pPr>
              <w:pStyle w:val="ListBullet"/>
            </w:pPr>
            <w:r w:rsidRPr="007E28E6">
              <w:t>Use listening and questioning techniques to confirm understanding</w:t>
            </w:r>
          </w:p>
        </w:tc>
      </w:tr>
    </w:tbl>
    <w:p w:rsidR="00000000" w:rsidRPr="007E28E6" w:rsidP="007E28E6">
      <w:pPr>
        <w:pStyle w:val="BodyText"/>
      </w:pPr>
    </w:p>
    <w:p w:rsidR="00000000" w:rsidRPr="007E28E6" w:rsidP="007E28E6">
      <w:pPr>
        <w:pStyle w:val="AllowPageBreak"/>
      </w:pPr>
    </w:p>
    <w:p w:rsidR="00000000" w:rsidRPr="007E28E6" w:rsidP="007E28E6">
      <w:pPr>
        <w:pStyle w:val="Heading1"/>
      </w:pPr>
      <w:bookmarkStart w:id="7" w:name="O_1213173"/>
      <w:bookmarkEnd w:id="7"/>
      <w:r w:rsidRPr="007E28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Bold"/>
              <w:rPr>
                <w:lang w:val="en-NZ"/>
              </w:rPr>
            </w:pPr>
            <w:r w:rsidRPr="007E28E6">
              <w:t>Code and title cu</w:t>
            </w:r>
            <w:r w:rsidRPr="007E28E6">
              <w:t>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Bold"/>
              <w:rPr>
                <w:lang w:val="en-NZ"/>
              </w:rPr>
            </w:pPr>
            <w:r w:rsidRPr="007E28E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Bold"/>
              <w:rPr>
                <w:lang w:val="en-NZ"/>
              </w:rPr>
            </w:pPr>
            <w:r w:rsidRPr="007E28E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Bold"/>
              <w:rPr>
                <w:lang w:val="en-NZ"/>
              </w:rPr>
            </w:pPr>
            <w:r w:rsidRPr="007E28E6">
              <w:t>Equivalence status</w:t>
            </w:r>
          </w:p>
        </w:tc>
      </w:tr>
      <w:tr w:rsidTr="007E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 xml:space="preserve">ACMEQU415 Relate musculoskeletal system to horse conformation and movement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ACMEQU403 Relate musculoskeletal structure to horse movement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 xml:space="preserve">Redesigned unit merging </w:t>
            </w:r>
            <w:r w:rsidRPr="007E28E6">
              <w:rPr>
                <w:rStyle w:val="Emphasis"/>
              </w:rPr>
              <w:t>ACMEQU403 Relate musculoskeletal structure to horse movement,</w:t>
            </w:r>
            <w:r w:rsidRPr="007E28E6">
              <w:t xml:space="preserve"> and </w:t>
            </w:r>
            <w:r w:rsidRPr="007E28E6">
              <w:rPr>
                <w:rStyle w:val="Emphasis"/>
              </w:rPr>
              <w:t>ACMPHR503 Evaluate performance horse conformation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Not equivalent</w:t>
            </w:r>
          </w:p>
        </w:tc>
      </w:tr>
      <w:tr w:rsidTr="007E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 xml:space="preserve">ACMEQU415 Relate musculoskeletal system to horse conformation and movement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>ACMPHR503 Evaluate performance horse conformatio</w:t>
            </w:r>
            <w:r w:rsidRPr="007E28E6">
              <w:t>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8E6">
            <w:pPr>
              <w:pStyle w:val="BodyText"/>
              <w:rPr>
                <w:lang w:val="en-NZ"/>
              </w:rPr>
            </w:pPr>
            <w:r w:rsidRPr="007E28E6">
              <w:t xml:space="preserve">Redesigned unit merging </w:t>
            </w:r>
            <w:r w:rsidRPr="007E28E6">
              <w:rPr>
                <w:rStyle w:val="Emphasis"/>
              </w:rPr>
              <w:t>ACMEQU403 Relate musculoskeletal structure to horse movement,</w:t>
            </w:r>
            <w:r w:rsidRPr="007E28E6">
              <w:t xml:space="preserve"> and </w:t>
            </w:r>
            <w:r w:rsidRPr="007E28E6">
              <w:rPr>
                <w:rStyle w:val="Emphasis"/>
              </w:rPr>
              <w:t>ACMPHR503 Evaluate performance horse conformation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8E6" w:rsidP="007E28E6">
            <w:pPr>
              <w:pStyle w:val="BodyText"/>
            </w:pPr>
            <w:r w:rsidRPr="007E28E6">
              <w:t xml:space="preserve">Not equivalent </w:t>
            </w:r>
          </w:p>
        </w:tc>
      </w:tr>
    </w:tbl>
    <w:p w:rsidR="00000000" w:rsidRPr="007E28E6" w:rsidP="007E28E6">
      <w:pPr>
        <w:pStyle w:val="BodyText"/>
      </w:pPr>
    </w:p>
    <w:p w:rsidR="00000000" w:rsidRPr="007E28E6" w:rsidP="007E28E6">
      <w:pPr>
        <w:pStyle w:val="AllowPageBreak"/>
      </w:pPr>
    </w:p>
    <w:p w:rsidR="00000000" w:rsidRPr="007E28E6" w:rsidP="007E28E6">
      <w:pPr>
        <w:pStyle w:val="Heading1"/>
      </w:pPr>
      <w:bookmarkStart w:id="8" w:name="O_1213180"/>
      <w:bookmarkEnd w:id="8"/>
      <w:r w:rsidRPr="007E28E6">
        <w:t>Links</w:t>
      </w:r>
    </w:p>
    <w:p w:rsidR="00000000" w:rsidRPr="007E28E6" w:rsidP="002B5568">
      <w:pPr>
        <w:pStyle w:val="BodyText"/>
      </w:pPr>
      <w:r w:rsidRPr="007E28E6">
        <w:t>Companion Volumes, including Implementation Guides, are available at VE</w:t>
      </w:r>
      <w:r w:rsidRPr="007E28E6">
        <w:t xml:space="preserve">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1173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E28E6" w:rsidP="007E28E6"/>
    <w:sectPr w:rsidSect="007E28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8E6" w:rsidRPr="002B5568" w:rsidP="002B55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68" w:rsidP="007E2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568" w:rsidP="007E2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5568" w:rsidP="007E2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8E6" w:rsidRPr="002B5568" w:rsidP="002B55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68" w:rsidRPr="002D2AF8" w:rsidP="007E2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ACMEQU415 Relate musculoskeletal system to horse conformation and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B5568" w:rsidP="007E2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687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F8D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8E6"/>
  </w:style>
  <w:style w:type="character" w:customStyle="1" w:styleId="Heading1Char">
    <w:name w:val="Heading 1 Char"/>
    <w:basedOn w:val="DefaultParagraphFont"/>
    <w:link w:val="Heading1"/>
    <w:rsid w:val="007E2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8E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E28E6"/>
    <w:rPr>
      <w:i/>
    </w:rPr>
  </w:style>
  <w:style w:type="paragraph" w:customStyle="1" w:styleId="SuperHeading">
    <w:name w:val="SuperHeading"/>
    <w:basedOn w:val="Normal"/>
    <w:rsid w:val="007E2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28E6"/>
    <w:rPr>
      <w:b/>
    </w:rPr>
  </w:style>
  <w:style w:type="character" w:customStyle="1" w:styleId="Heading2Char">
    <w:name w:val="Heading 2 Char"/>
    <w:basedOn w:val="DefaultParagraphFont"/>
    <w:link w:val="Heading2"/>
    <w:rsid w:val="007E2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8E6"/>
    <w:rPr>
      <w:b/>
      <w:spacing w:val="0"/>
    </w:rPr>
  </w:style>
  <w:style w:type="paragraph" w:customStyle="1" w:styleId="SuperTitle">
    <w:name w:val="SuperTitle"/>
    <w:basedOn w:val="Title"/>
    <w:rsid w:val="007E2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8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8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8E6"/>
  </w:style>
  <w:style w:type="paragraph" w:styleId="TableofFigures">
    <w:name w:val="table of figures"/>
    <w:basedOn w:val="Normal"/>
    <w:next w:val="Normal"/>
    <w:semiHidden/>
    <w:rsid w:val="007E2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8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28E6"/>
    <w:rPr>
      <w:rFonts w:ascii="Wingdings" w:hAnsi="Wingdings"/>
    </w:rPr>
  </w:style>
  <w:style w:type="paragraph" w:customStyle="1" w:styleId="TableHeading">
    <w:name w:val="Table Heading"/>
    <w:basedOn w:val="HeadingBase"/>
    <w:rsid w:val="007E2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8E6"/>
    <w:rPr>
      <w:color w:val="0033CC"/>
      <w:u w:val="none"/>
    </w:rPr>
  </w:style>
  <w:style w:type="paragraph" w:customStyle="1" w:styleId="BodyTextRight">
    <w:name w:val="Body Text Right"/>
    <w:basedOn w:val="BodyText"/>
    <w:rsid w:val="007E2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8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8E6"/>
    <w:rPr>
      <w:sz w:val="32"/>
    </w:rPr>
  </w:style>
  <w:style w:type="paragraph" w:customStyle="1" w:styleId="HeadingProcedure">
    <w:name w:val="Heading Procedure"/>
    <w:basedOn w:val="HeadingBase"/>
    <w:next w:val="Normal"/>
    <w:rsid w:val="007E2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8E6"/>
    <w:pPr>
      <w:spacing w:before="60" w:after="60"/>
    </w:pPr>
  </w:style>
  <w:style w:type="paragraph" w:styleId="ListContinue">
    <w:name w:val="List Continue"/>
    <w:basedOn w:val="List"/>
    <w:rsid w:val="007E28E6"/>
    <w:pPr>
      <w:ind w:firstLine="0"/>
    </w:pPr>
  </w:style>
  <w:style w:type="paragraph" w:customStyle="1" w:styleId="ListNote">
    <w:name w:val="List Note"/>
    <w:basedOn w:val="List"/>
    <w:rsid w:val="007E2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8E6"/>
    <w:rPr>
      <w:rFonts w:ascii="Courier New" w:hAnsi="Courier New"/>
    </w:rPr>
  </w:style>
  <w:style w:type="paragraph" w:customStyle="1" w:styleId="NoteBullet">
    <w:name w:val="Note Bullet"/>
    <w:basedOn w:val="Note"/>
    <w:rsid w:val="007E2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8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2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8E6"/>
    <w:rPr>
      <w:b/>
      <w:smallCaps/>
    </w:rPr>
  </w:style>
  <w:style w:type="paragraph" w:customStyle="1" w:styleId="TableListNumber">
    <w:name w:val="Table List Number"/>
    <w:basedOn w:val="ListNumber"/>
    <w:rsid w:val="007E2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8E6"/>
    <w:pPr>
      <w:numPr>
        <w:numId w:val="8"/>
      </w:numPr>
    </w:pPr>
  </w:style>
  <w:style w:type="paragraph" w:customStyle="1" w:styleId="ListAlpha2">
    <w:name w:val="List Alpha 2"/>
    <w:basedOn w:val="List2"/>
    <w:rsid w:val="007E28E6"/>
    <w:pPr>
      <w:numPr>
        <w:numId w:val="7"/>
      </w:numPr>
    </w:pPr>
  </w:style>
  <w:style w:type="paragraph" w:styleId="List2">
    <w:name w:val="List 2"/>
    <w:basedOn w:val="BodyText"/>
    <w:rsid w:val="007E2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8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8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28E6"/>
    <w:pPr>
      <w:numPr>
        <w:numId w:val="3"/>
      </w:numPr>
    </w:pPr>
  </w:style>
  <w:style w:type="paragraph" w:styleId="ListContinue2">
    <w:name w:val="List Continue 2"/>
    <w:basedOn w:val="List2"/>
    <w:rsid w:val="007E28E6"/>
    <w:pPr>
      <w:ind w:firstLine="0"/>
    </w:pPr>
  </w:style>
  <w:style w:type="paragraph" w:styleId="ListContinue3">
    <w:name w:val="List Continue 3"/>
    <w:basedOn w:val="List3"/>
    <w:rsid w:val="007E28E6"/>
    <w:pPr>
      <w:ind w:left="1021" w:firstLine="0"/>
    </w:pPr>
  </w:style>
  <w:style w:type="paragraph" w:styleId="ListContinue4">
    <w:name w:val="List Continue 4"/>
    <w:basedOn w:val="List4"/>
    <w:rsid w:val="007E28E6"/>
    <w:pPr>
      <w:ind w:firstLine="0"/>
    </w:pPr>
  </w:style>
  <w:style w:type="paragraph" w:styleId="ListContinue5">
    <w:name w:val="List Continue 5"/>
    <w:basedOn w:val="List5"/>
    <w:rsid w:val="007E28E6"/>
    <w:pPr>
      <w:ind w:firstLine="0"/>
    </w:pPr>
  </w:style>
  <w:style w:type="paragraph" w:styleId="ListNumber3">
    <w:name w:val="List Number 3"/>
    <w:basedOn w:val="List3"/>
    <w:rsid w:val="007E28E6"/>
    <w:pPr>
      <w:numPr>
        <w:numId w:val="4"/>
      </w:numPr>
    </w:pPr>
  </w:style>
  <w:style w:type="paragraph" w:styleId="ListNumber4">
    <w:name w:val="List Number 4"/>
    <w:basedOn w:val="List4"/>
    <w:rsid w:val="007E28E6"/>
    <w:pPr>
      <w:numPr>
        <w:numId w:val="5"/>
      </w:numPr>
    </w:pPr>
  </w:style>
  <w:style w:type="paragraph" w:styleId="ListNumber5">
    <w:name w:val="List Number 5"/>
    <w:basedOn w:val="List5"/>
    <w:rsid w:val="007E28E6"/>
    <w:pPr>
      <w:numPr>
        <w:numId w:val="6"/>
      </w:numPr>
    </w:pPr>
  </w:style>
  <w:style w:type="paragraph" w:styleId="BlockText">
    <w:name w:val="Block Text"/>
    <w:basedOn w:val="Normal"/>
    <w:rsid w:val="007E2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8E6"/>
    <w:rPr>
      <w:sz w:val="16"/>
      <w:vertAlign w:val="superscript"/>
    </w:rPr>
  </w:style>
  <w:style w:type="character" w:customStyle="1" w:styleId="Symbols">
    <w:name w:val="Symbols"/>
    <w:basedOn w:val="DefaultParagraphFont"/>
    <w:rsid w:val="007E28E6"/>
    <w:rPr>
      <w:rFonts w:ascii="Symbol" w:hAnsi="Symbol"/>
    </w:rPr>
  </w:style>
  <w:style w:type="character" w:customStyle="1" w:styleId="MenuOptions">
    <w:name w:val="Menu Options"/>
    <w:basedOn w:val="DefaultParagraphFont"/>
    <w:rsid w:val="007E2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8E6"/>
    <w:rPr>
      <w:b/>
    </w:rPr>
  </w:style>
  <w:style w:type="character" w:customStyle="1" w:styleId="Underlined">
    <w:name w:val="Underlined"/>
    <w:basedOn w:val="DefaultParagraphFont"/>
    <w:rsid w:val="007E28E6"/>
    <w:rPr>
      <w:u w:val="single"/>
    </w:rPr>
  </w:style>
  <w:style w:type="paragraph" w:customStyle="1" w:styleId="TableBodyTextRight">
    <w:name w:val="Table Body Text Right"/>
    <w:basedOn w:val="TableBodyText"/>
    <w:rsid w:val="007E2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8E6"/>
    <w:rPr>
      <w:sz w:val="18"/>
    </w:rPr>
  </w:style>
  <w:style w:type="paragraph" w:customStyle="1" w:styleId="BodySmallRight">
    <w:name w:val="Body Small Right"/>
    <w:basedOn w:val="BodyTextRight"/>
    <w:rsid w:val="007E28E6"/>
    <w:rPr>
      <w:sz w:val="18"/>
      <w:szCs w:val="18"/>
    </w:rPr>
  </w:style>
  <w:style w:type="paragraph" w:customStyle="1" w:styleId="MarginEdition">
    <w:name w:val="Margin Edition"/>
    <w:basedOn w:val="MarginNote"/>
    <w:rsid w:val="007E2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8E6"/>
    <w:rPr>
      <w:sz w:val="2"/>
      <w:szCs w:val="2"/>
    </w:rPr>
  </w:style>
  <w:style w:type="character" w:customStyle="1" w:styleId="Small">
    <w:name w:val="Small"/>
    <w:basedOn w:val="DefaultParagraphFont"/>
    <w:rsid w:val="007E28E6"/>
    <w:rPr>
      <w:sz w:val="16"/>
    </w:rPr>
  </w:style>
  <w:style w:type="paragraph" w:customStyle="1" w:styleId="WideTable">
    <w:name w:val="Wide Table"/>
    <w:basedOn w:val="Normal"/>
    <w:rsid w:val="007E2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8E6"/>
  </w:style>
  <w:style w:type="paragraph" w:styleId="Quote">
    <w:name w:val="Quote"/>
    <w:basedOn w:val="Heading1"/>
    <w:link w:val="QuoteChar"/>
    <w:qFormat/>
    <w:rsid w:val="007E2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8E6"/>
    <w:pPr>
      <w:pageBreakBefore/>
    </w:pPr>
  </w:style>
  <w:style w:type="paragraph" w:customStyle="1" w:styleId="Border">
    <w:name w:val="Border"/>
    <w:basedOn w:val="Normal"/>
    <w:qFormat/>
    <w:rsid w:val="007E2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8E6"/>
    <w:rPr>
      <w:u w:val="single"/>
    </w:rPr>
  </w:style>
  <w:style w:type="character" w:customStyle="1" w:styleId="BoldandItalics">
    <w:name w:val="Bold and Italics"/>
    <w:qFormat/>
    <w:rsid w:val="007E28E6"/>
    <w:rPr>
      <w:b/>
      <w:i/>
      <w:u w:val="none"/>
    </w:rPr>
  </w:style>
  <w:style w:type="paragraph" w:styleId="BalloonText">
    <w:name w:val="Balloon Text"/>
    <w:basedOn w:val="Normal"/>
    <w:link w:val="BalloonTextChar"/>
    <w:rsid w:val="007E2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8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55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4682</Characters>
  <Application>Microsoft Office Word</Application>
  <DocSecurity>0</DocSecurity>
  <Lines>173</Lines>
  <Paragraphs>85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ACMEQU415 Relate musculoskeletal system to horse conformation and movement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