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900" w:rsidP="00770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ACMEQU414 Manage horses to meet sport event requirements</w:t>
      </w:r>
      <w:r>
        <w:fldChar w:fldCharType="end"/>
      </w:r>
    </w:p>
    <w:p w:rsidR="00770900" w:rsidP="00770900">
      <w:pPr>
        <w:pStyle w:val="Version"/>
        <w:sectPr w:rsidSect="00FD6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F7D" w:rsidP="00FD6F7D">
      <w:pPr>
        <w:pStyle w:val="SuperHeading"/>
      </w:pPr>
      <w:r w:rsidRPr="00FD6F7D">
        <w:t>Assessment Requirements for ACMEQU414 Manage horses to meet sport event requirements</w:t>
      </w:r>
    </w:p>
    <w:p w:rsidR="00000000" w:rsidRPr="00FD6F7D" w:rsidP="00FD6F7D">
      <w:pPr>
        <w:pStyle w:val="Heading1"/>
      </w:pPr>
      <w:bookmarkStart w:id="1" w:name="O_1213156"/>
      <w:bookmarkEnd w:id="1"/>
      <w:r w:rsidRPr="00FD6F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6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F7D">
            <w:pPr>
              <w:pStyle w:val="BodyTextBold"/>
              <w:rPr>
                <w:lang w:val="en-NZ"/>
              </w:rPr>
            </w:pPr>
            <w:r w:rsidRPr="00FD6F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F7D">
            <w:pPr>
              <w:pStyle w:val="BodyTextBold"/>
              <w:rPr>
                <w:lang w:val="en-NZ"/>
              </w:rPr>
            </w:pPr>
            <w:r w:rsidRPr="00FD6F7D">
              <w:t>Comments</w:t>
            </w:r>
          </w:p>
        </w:tc>
      </w:tr>
      <w:tr w:rsidTr="00FD6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F7D">
            <w:pPr>
              <w:pStyle w:val="BodyText"/>
              <w:rPr>
                <w:lang w:val="en-NZ"/>
              </w:rPr>
            </w:pPr>
            <w:r w:rsidRPr="00FD6F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F7D" w:rsidP="00FD6F7D">
            <w:pPr>
              <w:pStyle w:val="BodyText"/>
            </w:pPr>
            <w:r w:rsidRPr="00FD6F7D">
              <w:t>This version released with ACM Animal Care and Management Training Package Version 5.0.</w:t>
            </w:r>
          </w:p>
        </w:tc>
      </w:tr>
    </w:tbl>
    <w:p w:rsidR="00000000" w:rsidRPr="00FD6F7D" w:rsidP="00FD6F7D">
      <w:pPr>
        <w:pStyle w:val="BodyText"/>
      </w:pPr>
    </w:p>
    <w:p w:rsidR="00000000" w:rsidRPr="00FD6F7D" w:rsidP="00FD6F7D">
      <w:pPr>
        <w:pStyle w:val="AllowPageBreak"/>
      </w:pPr>
    </w:p>
    <w:p w:rsidR="00000000" w:rsidRPr="00FD6F7D" w:rsidP="00FD6F7D">
      <w:pPr>
        <w:pStyle w:val="Heading1"/>
      </w:pPr>
      <w:bookmarkStart w:id="2" w:name="O_1213157"/>
      <w:bookmarkEnd w:id="2"/>
      <w:r w:rsidRPr="00FD6F7D">
        <w:t>Performance Evidence</w:t>
      </w:r>
    </w:p>
    <w:p w:rsidR="00000000" w:rsidRPr="00FD6F7D" w:rsidP="00770900">
      <w:pPr>
        <w:pStyle w:val="BodyText"/>
      </w:pPr>
      <w:r w:rsidRPr="00FD6F7D">
        <w:t>An individual demonstrating competency must satisfy all of the elements and performance criteria in this unit.</w:t>
      </w:r>
    </w:p>
    <w:p w:rsidR="00000000" w:rsidRPr="00FD6F7D" w:rsidP="00770900">
      <w:pPr>
        <w:pStyle w:val="BodyText"/>
      </w:pPr>
      <w:r w:rsidRPr="00FD6F7D">
        <w:t>There must be evidence that the individual has:</w:t>
      </w:r>
    </w:p>
    <w:p w:rsidR="00000000" w:rsidRPr="00FD6F7D" w:rsidP="00FD6F7D">
      <w:pPr>
        <w:pStyle w:val="ListBullet"/>
      </w:pPr>
      <w:r w:rsidRPr="00FD6F7D">
        <w:t>researched, interpreted and summarised key event rules, regulation</w:t>
      </w:r>
      <w:r w:rsidRPr="00FD6F7D">
        <w:t>s and requirements for at least one horse sport or discipline event</w:t>
      </w:r>
    </w:p>
    <w:p w:rsidR="00000000" w:rsidRPr="00FD6F7D" w:rsidP="00FD6F7D">
      <w:pPr>
        <w:pStyle w:val="ListBullet"/>
      </w:pPr>
      <w:r w:rsidRPr="00FD6F7D">
        <w:t xml:space="preserve">planned and participated in at least two events in one horse sport or discipline, including: </w:t>
      </w:r>
    </w:p>
    <w:p w:rsidR="00000000" w:rsidRPr="00FD6F7D" w:rsidP="00FD6F7D">
      <w:pPr>
        <w:pStyle w:val="ListBullet2"/>
      </w:pPr>
      <w:r w:rsidRPr="00FD6F7D">
        <w:t>organised resources and logistics for each event</w:t>
      </w:r>
    </w:p>
    <w:p w:rsidR="00000000" w:rsidRPr="00FD6F7D" w:rsidP="00FD6F7D">
      <w:pPr>
        <w:pStyle w:val="ListBullet2"/>
      </w:pPr>
      <w:r w:rsidRPr="00FD6F7D">
        <w:t xml:space="preserve">completed each event complying with specific procedures and rules </w:t>
      </w:r>
    </w:p>
    <w:p w:rsidR="00000000" w:rsidRPr="00FD6F7D" w:rsidP="00FD6F7D">
      <w:pPr>
        <w:pStyle w:val="ListBullet2"/>
      </w:pPr>
      <w:r w:rsidRPr="00FD6F7D">
        <w:t xml:space="preserve">managed horse health and handled horses safely during and after each event </w:t>
      </w:r>
    </w:p>
    <w:p w:rsidR="00000000" w:rsidRPr="00FD6F7D" w:rsidP="00FD6F7D">
      <w:pPr>
        <w:pStyle w:val="ListBullet2"/>
      </w:pPr>
      <w:r w:rsidRPr="00FD6F7D">
        <w:t>participated in at least one protest, inquiry or appeal for one event.</w:t>
      </w:r>
    </w:p>
    <w:p w:rsidR="00000000" w:rsidRPr="00FD6F7D" w:rsidP="00FD6F7D">
      <w:pPr>
        <w:pStyle w:val="AllowPageBreak"/>
      </w:pPr>
    </w:p>
    <w:p w:rsidR="00000000" w:rsidRPr="00FD6F7D" w:rsidP="00FD6F7D">
      <w:pPr>
        <w:pStyle w:val="Heading1"/>
      </w:pPr>
      <w:bookmarkStart w:id="3" w:name="O_1213158"/>
      <w:bookmarkEnd w:id="3"/>
      <w:r w:rsidRPr="00FD6F7D">
        <w:t>Knowledge Evidence</w:t>
      </w:r>
    </w:p>
    <w:p w:rsidR="00000000" w:rsidRPr="00FD6F7D" w:rsidP="00770900">
      <w:pPr>
        <w:pStyle w:val="BodyText"/>
      </w:pPr>
      <w:r w:rsidRPr="00FD6F7D">
        <w:t>An i</w:t>
      </w:r>
      <w:r w:rsidRPr="00FD6F7D">
        <w:t>ndividual must be able to demonstrate the knowledge required to perform the tasks outlined in the elements and performance criteria of this unit. This includes knowledge of:</w:t>
      </w:r>
    </w:p>
    <w:p w:rsidR="00000000" w:rsidRPr="00FD6F7D" w:rsidP="00FD6F7D">
      <w:pPr>
        <w:pStyle w:val="ListBullet"/>
      </w:pPr>
      <w:r w:rsidRPr="00FD6F7D">
        <w:t>range of key horse sports or disciplines, including:</w:t>
      </w:r>
    </w:p>
    <w:p w:rsidR="00000000" w:rsidRPr="00FD6F7D" w:rsidP="00FD6F7D">
      <w:pPr>
        <w:pStyle w:val="ListBullet2"/>
      </w:pPr>
      <w:r w:rsidRPr="00FD6F7D">
        <w:t xml:space="preserve">Olympic sports – dressage, </w:t>
      </w:r>
      <w:r w:rsidRPr="00FD6F7D">
        <w:t>show jumping and eventing</w:t>
      </w:r>
    </w:p>
    <w:p w:rsidR="00000000" w:rsidRPr="00FD6F7D" w:rsidP="00FD6F7D">
      <w:pPr>
        <w:pStyle w:val="ListBullet2"/>
      </w:pPr>
      <w:r w:rsidRPr="00FD6F7D">
        <w:t>western style disciplines – working equitation, camp drafting, endurance riding</w:t>
      </w:r>
    </w:p>
    <w:p w:rsidR="00000000" w:rsidRPr="00FD6F7D" w:rsidP="00FD6F7D">
      <w:pPr>
        <w:pStyle w:val="ListBullet2"/>
      </w:pPr>
      <w:r w:rsidRPr="00FD6F7D">
        <w:t xml:space="preserve">team sports – polocrosse, polo </w:t>
      </w:r>
    </w:p>
    <w:p w:rsidR="00000000" w:rsidRPr="00FD6F7D" w:rsidP="00FD6F7D">
      <w:pPr>
        <w:pStyle w:val="ListBullet"/>
      </w:pPr>
      <w:r w:rsidRPr="00FD6F7D">
        <w:t>horse breeds and performance characteristics relevant to discipline</w:t>
      </w:r>
    </w:p>
    <w:p w:rsidR="00000000" w:rsidRPr="00FD6F7D" w:rsidP="00FD6F7D">
      <w:pPr>
        <w:pStyle w:val="ListBullet"/>
      </w:pPr>
      <w:r w:rsidRPr="00FD6F7D">
        <w:t>criteria for determining horse suitability for sp</w:t>
      </w:r>
      <w:r w:rsidRPr="00FD6F7D">
        <w:t>ecific events, including indicators of fitness, condition, health and injury</w:t>
      </w:r>
    </w:p>
    <w:p w:rsidR="00000000" w:rsidRPr="00FD6F7D" w:rsidP="00FD6F7D">
      <w:pPr>
        <w:pStyle w:val="ListBullet"/>
      </w:pPr>
      <w:r w:rsidRPr="00FD6F7D">
        <w:t>basic principles of sports psychology relevant to horse sporting events</w:t>
      </w:r>
    </w:p>
    <w:p w:rsidR="00000000" w:rsidRPr="00FD6F7D" w:rsidP="00FD6F7D">
      <w:pPr>
        <w:pStyle w:val="ListBullet"/>
      </w:pPr>
      <w:r w:rsidRPr="00FD6F7D">
        <w:t>fundamentals of the concept of social licence to operate</w:t>
      </w:r>
    </w:p>
    <w:p w:rsidR="00000000" w:rsidRPr="00FD6F7D" w:rsidP="00FD6F7D">
      <w:pPr>
        <w:pStyle w:val="ListBullet"/>
      </w:pPr>
      <w:r w:rsidRPr="00FD6F7D">
        <w:t>horse sport event opportunities and considerations for planning, including:</w:t>
      </w:r>
    </w:p>
    <w:p w:rsidR="00000000" w:rsidRPr="00FD6F7D" w:rsidP="00FD6F7D">
      <w:pPr>
        <w:pStyle w:val="ListBullet2"/>
      </w:pPr>
      <w:r w:rsidRPr="00FD6F7D">
        <w:t>timing or schedule</w:t>
      </w:r>
    </w:p>
    <w:p w:rsidR="00000000" w:rsidRPr="00FD6F7D" w:rsidP="00FD6F7D">
      <w:pPr>
        <w:pStyle w:val="ListBullet2"/>
      </w:pPr>
      <w:r w:rsidRPr="00FD6F7D">
        <w:t>location and accessibility</w:t>
      </w:r>
    </w:p>
    <w:p w:rsidR="00000000" w:rsidRPr="00FD6F7D" w:rsidP="00FD6F7D">
      <w:pPr>
        <w:pStyle w:val="ListBullet2"/>
      </w:pPr>
      <w:r w:rsidRPr="00FD6F7D">
        <w:t>cost</w:t>
      </w:r>
    </w:p>
    <w:p w:rsidR="00000000" w:rsidRPr="00FD6F7D" w:rsidP="00FD6F7D">
      <w:pPr>
        <w:pStyle w:val="ListBullet2"/>
      </w:pPr>
      <w:r w:rsidRPr="00FD6F7D">
        <w:t xml:space="preserve">entry, eligibility and/or qualifying requirements </w:t>
      </w:r>
    </w:p>
    <w:p w:rsidR="00000000" w:rsidRPr="00FD6F7D" w:rsidP="00FD6F7D">
      <w:pPr>
        <w:pStyle w:val="ListBullet2"/>
      </w:pPr>
      <w:r w:rsidRPr="00FD6F7D">
        <w:t>options for sponsorship or funding</w:t>
      </w:r>
    </w:p>
    <w:p w:rsidR="00000000" w:rsidRPr="00FD6F7D" w:rsidP="00FD6F7D">
      <w:pPr>
        <w:pStyle w:val="ListBullet"/>
      </w:pPr>
      <w:r w:rsidRPr="00FD6F7D">
        <w:t>horse transport options and effect of tra</w:t>
      </w:r>
      <w:r w:rsidRPr="00FD6F7D">
        <w:t>nsport on horse health and welfare</w:t>
      </w:r>
    </w:p>
    <w:p w:rsidR="00000000" w:rsidRPr="00FD6F7D" w:rsidP="00FD6F7D">
      <w:pPr>
        <w:pStyle w:val="ListBullet"/>
      </w:pPr>
      <w:r w:rsidRPr="00FD6F7D">
        <w:t xml:space="preserve">horse sport or discipline governing bodies, structure and function </w:t>
      </w:r>
    </w:p>
    <w:p w:rsidR="00000000" w:rsidRPr="00FD6F7D" w:rsidP="00FD6F7D">
      <w:pPr>
        <w:pStyle w:val="ListBullet"/>
      </w:pPr>
      <w:r w:rsidRPr="00FD6F7D">
        <w:t>rules, regulations and event requirements for horse sport or discipline, including:</w:t>
      </w:r>
    </w:p>
    <w:p w:rsidR="00000000" w:rsidRPr="00FD6F7D" w:rsidP="00FD6F7D">
      <w:pPr>
        <w:pStyle w:val="ListBullet2"/>
      </w:pPr>
      <w:r w:rsidRPr="00FD6F7D">
        <w:t>eligibility and qualifying requirements</w:t>
      </w:r>
    </w:p>
    <w:p w:rsidR="00000000" w:rsidRPr="00FD6F7D" w:rsidP="00FD6F7D">
      <w:pPr>
        <w:pStyle w:val="ListBullet2"/>
      </w:pPr>
      <w:r w:rsidRPr="00FD6F7D">
        <w:t>horse requirements and breed</w:t>
      </w:r>
      <w:r w:rsidRPr="00FD6F7D">
        <w:t xml:space="preserve"> standards</w:t>
      </w:r>
    </w:p>
    <w:p w:rsidR="00000000" w:rsidRPr="00FD6F7D" w:rsidP="00FD6F7D">
      <w:pPr>
        <w:pStyle w:val="ListBullet2"/>
      </w:pPr>
      <w:r w:rsidRPr="00FD6F7D">
        <w:t>gear, equipment and presentation of horses</w:t>
      </w:r>
    </w:p>
    <w:p w:rsidR="00000000" w:rsidRPr="00FD6F7D" w:rsidP="00FD6F7D">
      <w:pPr>
        <w:pStyle w:val="ListBullet2"/>
      </w:pPr>
      <w:r w:rsidRPr="00FD6F7D">
        <w:t>withholding periods</w:t>
      </w:r>
    </w:p>
    <w:p w:rsidR="00000000" w:rsidRPr="00FD6F7D" w:rsidP="00FD6F7D">
      <w:pPr>
        <w:pStyle w:val="ListBullet2"/>
      </w:pPr>
      <w:r w:rsidRPr="00FD6F7D">
        <w:t>administration of medication</w:t>
      </w:r>
    </w:p>
    <w:p w:rsidR="00000000" w:rsidRPr="00FD6F7D" w:rsidP="00FD6F7D">
      <w:pPr>
        <w:pStyle w:val="ListBullet2"/>
      </w:pPr>
      <w:r w:rsidRPr="00FD6F7D">
        <w:t>presentation and dress standards for competitors</w:t>
      </w:r>
    </w:p>
    <w:p w:rsidR="00000000" w:rsidRPr="00FD6F7D" w:rsidP="00FD6F7D">
      <w:pPr>
        <w:pStyle w:val="ListBullet2"/>
      </w:pPr>
      <w:r w:rsidRPr="00FD6F7D">
        <w:t>roles and functions of officials and judges</w:t>
      </w:r>
    </w:p>
    <w:p w:rsidR="00000000" w:rsidRPr="00FD6F7D" w:rsidP="00FD6F7D">
      <w:pPr>
        <w:pStyle w:val="ListBullet2"/>
      </w:pPr>
      <w:r w:rsidRPr="00FD6F7D">
        <w:t>disciplinary, protest and appeal procedures</w:t>
      </w:r>
    </w:p>
    <w:p w:rsidR="00000000" w:rsidRPr="00FD6F7D" w:rsidP="00FD6F7D">
      <w:pPr>
        <w:pStyle w:val="ListBullet"/>
      </w:pPr>
      <w:r w:rsidRPr="00FD6F7D">
        <w:t>health and safety hazards and controls when interacting with horses, including:</w:t>
      </w:r>
    </w:p>
    <w:p w:rsidR="00000000" w:rsidRPr="00FD6F7D" w:rsidP="00FD6F7D">
      <w:pPr>
        <w:pStyle w:val="ListBullet2"/>
      </w:pPr>
      <w:r w:rsidRPr="00FD6F7D">
        <w:t>use of safe, low stress handling techniques</w:t>
      </w:r>
    </w:p>
    <w:p w:rsidR="00000000" w:rsidRPr="00FD6F7D" w:rsidP="00FD6F7D">
      <w:pPr>
        <w:pStyle w:val="ListBullet2"/>
      </w:pPr>
      <w:r w:rsidRPr="00FD6F7D">
        <w:t>use of personal protective equipment (PPE)</w:t>
      </w:r>
    </w:p>
    <w:p w:rsidR="00000000" w:rsidRPr="00FD6F7D" w:rsidP="00FD6F7D">
      <w:pPr>
        <w:pStyle w:val="ListBullet2"/>
      </w:pPr>
      <w:r w:rsidRPr="00FD6F7D">
        <w:t>hygiene, infection control and biosecurity</w:t>
      </w:r>
    </w:p>
    <w:p w:rsidR="00000000" w:rsidRPr="00FD6F7D" w:rsidP="00FD6F7D">
      <w:pPr>
        <w:pStyle w:val="ListBullet2"/>
      </w:pPr>
      <w:r w:rsidRPr="00FD6F7D">
        <w:t>zoonotic and infectious diseases, including t</w:t>
      </w:r>
      <w:r w:rsidRPr="00FD6F7D">
        <w:t>hose caused by bacteria, fungi, parasites and viruses</w:t>
      </w:r>
    </w:p>
    <w:p w:rsidR="00000000" w:rsidRPr="00FD6F7D" w:rsidP="00FD6F7D">
      <w:pPr>
        <w:pStyle w:val="ListBullet2"/>
      </w:pPr>
      <w:r w:rsidRPr="00FD6F7D">
        <w:t>environmental considerations and waste disposal</w:t>
      </w:r>
    </w:p>
    <w:p w:rsidR="00000000" w:rsidRPr="00FD6F7D" w:rsidP="00FD6F7D">
      <w:pPr>
        <w:pStyle w:val="ListBullet2"/>
      </w:pPr>
      <w:r w:rsidRPr="00FD6F7D">
        <w:t>first aid equipment and event first aid station</w:t>
      </w:r>
    </w:p>
    <w:p w:rsidR="00000000" w:rsidRPr="00FD6F7D" w:rsidP="00FD6F7D">
      <w:pPr>
        <w:pStyle w:val="ListBullet"/>
      </w:pPr>
      <w:r w:rsidRPr="00FD6F7D">
        <w:t>key requirements of current codes of practice and legislation relevant to horses, including:</w:t>
      </w:r>
    </w:p>
    <w:p w:rsidR="00000000" w:rsidRPr="00FD6F7D" w:rsidP="00FD6F7D">
      <w:pPr>
        <w:pStyle w:val="ListBullet2"/>
      </w:pPr>
      <w:r w:rsidRPr="00FD6F7D">
        <w:t>animal welf</w:t>
      </w:r>
      <w:r w:rsidRPr="00FD6F7D">
        <w:t>are, including safe, humane and ethical care of horses</w:t>
      </w:r>
    </w:p>
    <w:p w:rsidR="00000000" w:rsidRPr="00FD6F7D" w:rsidP="00FD6F7D">
      <w:pPr>
        <w:pStyle w:val="ListBullet2"/>
      </w:pPr>
      <w:r w:rsidRPr="00FD6F7D">
        <w:t>transportation of horses.</w:t>
      </w:r>
    </w:p>
    <w:p w:rsidR="00000000" w:rsidRPr="00FD6F7D" w:rsidP="00FD6F7D">
      <w:pPr>
        <w:pStyle w:val="AllowPageBreak"/>
      </w:pPr>
    </w:p>
    <w:p w:rsidR="00000000" w:rsidRPr="00FD6F7D" w:rsidP="00FD6F7D">
      <w:pPr>
        <w:pStyle w:val="Heading1"/>
      </w:pPr>
      <w:bookmarkStart w:id="4" w:name="O_1213159"/>
      <w:bookmarkEnd w:id="4"/>
      <w:r w:rsidRPr="00FD6F7D">
        <w:t>Assessment Conditions</w:t>
      </w:r>
    </w:p>
    <w:p w:rsidR="00000000" w:rsidRPr="00FD6F7D" w:rsidP="00770900">
      <w:pPr>
        <w:pStyle w:val="BodyText"/>
      </w:pPr>
      <w:r w:rsidRPr="00FD6F7D">
        <w:t>Assessment of the skills in this unit of competency must take place under the following conditions:</w:t>
      </w:r>
    </w:p>
    <w:p w:rsidR="00000000" w:rsidRPr="00FD6F7D" w:rsidP="00FD6F7D">
      <w:pPr>
        <w:pStyle w:val="ListBullet"/>
      </w:pPr>
      <w:r w:rsidRPr="00FD6F7D">
        <w:t>physical conditions:</w:t>
      </w:r>
    </w:p>
    <w:p w:rsidR="00000000" w:rsidRPr="00FD6F7D" w:rsidP="00FD6F7D">
      <w:pPr>
        <w:pStyle w:val="ListBullet2"/>
      </w:pPr>
      <w:r w:rsidRPr="00FD6F7D">
        <w:t>an equine w</w:t>
      </w:r>
      <w:r w:rsidRPr="00FD6F7D">
        <w:t>orkplace, or an environment that accurately represents conditions in a horse sport event</w:t>
      </w:r>
    </w:p>
    <w:p w:rsidR="00000000" w:rsidRPr="00FD6F7D" w:rsidP="00FD6F7D">
      <w:pPr>
        <w:pStyle w:val="ListBullet"/>
      </w:pPr>
      <w:r w:rsidRPr="00FD6F7D">
        <w:t>resources, equipment and materials:</w:t>
      </w:r>
    </w:p>
    <w:p w:rsidR="00000000" w:rsidRPr="00FD6F7D" w:rsidP="00FD6F7D">
      <w:pPr>
        <w:pStyle w:val="ListBullet2"/>
      </w:pPr>
      <w:r w:rsidRPr="00FD6F7D">
        <w:t>live horses that have been assessed as suitable for the experience and skills of the individual in relevant horse sport or discip</w:t>
      </w:r>
      <w:r w:rsidRPr="00FD6F7D">
        <w:t>line</w:t>
      </w:r>
    </w:p>
    <w:p w:rsidR="00000000" w:rsidRPr="00FD6F7D" w:rsidP="00FD6F7D">
      <w:pPr>
        <w:pStyle w:val="ListBullet2"/>
      </w:pPr>
      <w:r w:rsidRPr="00FD6F7D">
        <w:t>appropriate gear and equipment for horse and event activity</w:t>
      </w:r>
    </w:p>
    <w:p w:rsidR="00000000" w:rsidRPr="00FD6F7D" w:rsidP="00FD6F7D">
      <w:pPr>
        <w:pStyle w:val="ListBullet2"/>
      </w:pPr>
      <w:r w:rsidRPr="00FD6F7D">
        <w:t xml:space="preserve">PPE equipment for rider – correctly fitted and appropriate for activity </w:t>
      </w:r>
    </w:p>
    <w:p w:rsidR="00000000" w:rsidRPr="00FD6F7D" w:rsidP="00FD6F7D">
      <w:pPr>
        <w:pStyle w:val="ListBullet2"/>
      </w:pPr>
      <w:r w:rsidRPr="00FD6F7D">
        <w:t>transport for horses</w:t>
      </w:r>
    </w:p>
    <w:p w:rsidR="00000000" w:rsidRPr="00FD6F7D" w:rsidP="00FD6F7D">
      <w:pPr>
        <w:pStyle w:val="ListBullet2"/>
      </w:pPr>
      <w:r w:rsidRPr="00FD6F7D">
        <w:t>record-keeping formats</w:t>
      </w:r>
    </w:p>
    <w:p w:rsidR="00000000" w:rsidRPr="00FD6F7D" w:rsidP="00FD6F7D">
      <w:pPr>
        <w:pStyle w:val="ListBullet"/>
      </w:pPr>
      <w:r w:rsidRPr="00FD6F7D">
        <w:t>specifications:</w:t>
      </w:r>
    </w:p>
    <w:p w:rsidR="00000000" w:rsidRPr="00FD6F7D" w:rsidP="00FD6F7D">
      <w:pPr>
        <w:pStyle w:val="ListBullet2"/>
      </w:pPr>
      <w:r w:rsidRPr="00FD6F7D">
        <w:t>current information on event rules and requirements spec</w:t>
      </w:r>
      <w:r w:rsidRPr="00FD6F7D">
        <w:t>ific to sport or discipline addressed in performance evidence</w:t>
      </w:r>
    </w:p>
    <w:p w:rsidR="00000000" w:rsidRPr="00FD6F7D" w:rsidP="00FD6F7D">
      <w:pPr>
        <w:pStyle w:val="ListBullet2"/>
      </w:pPr>
      <w:r w:rsidRPr="00FD6F7D">
        <w:t>current, relevant guidelines for horse transportation and biosecurity.</w:t>
      </w:r>
    </w:p>
    <w:p w:rsidR="00000000" w:rsidRPr="00FD6F7D" w:rsidP="00770900">
      <w:pPr>
        <w:pStyle w:val="BodyText"/>
      </w:pPr>
      <w:r w:rsidRPr="00FD6F7D">
        <w:t xml:space="preserve">The </w:t>
      </w:r>
      <w:r w:rsidRPr="00FD6F7D">
        <w:rPr>
          <w:rStyle w:val="Emphasis"/>
        </w:rPr>
        <w:t>Companion Volume:</w:t>
      </w:r>
      <w:r w:rsidRPr="00FD6F7D">
        <w:t xml:space="preserve"> </w:t>
      </w:r>
      <w:r w:rsidRPr="00FD6F7D">
        <w:rPr>
          <w:rStyle w:val="Emphasis"/>
        </w:rPr>
        <w:t>User Guide: Safety in Equine Training</w:t>
      </w:r>
      <w:r w:rsidRPr="00FD6F7D">
        <w:t xml:space="preserve"> provides advice and sample templates to assist assessors with t</w:t>
      </w:r>
      <w:r w:rsidRPr="00FD6F7D">
        <w:t>he risk assessments that should be undertaken to help ensure the safety of all involved in the assessment.</w:t>
      </w:r>
    </w:p>
    <w:p w:rsidR="00000000" w:rsidRPr="00FD6F7D" w:rsidP="00770900">
      <w:pPr>
        <w:pStyle w:val="BodyText"/>
      </w:pPr>
      <w:r w:rsidRPr="00FD6F7D">
        <w:t>Assessors of this unit must satisfy the requirements for assessors in applicable vocational education and training legislation, frameworks and/or standards.</w:t>
      </w:r>
    </w:p>
    <w:p w:rsidR="00000000" w:rsidRPr="00FD6F7D" w:rsidP="00FD6F7D">
      <w:pPr>
        <w:pStyle w:val="Heading1"/>
      </w:pPr>
      <w:bookmarkStart w:id="5" w:name="O_1213162"/>
      <w:bookmarkEnd w:id="5"/>
      <w:r w:rsidRPr="00FD6F7D">
        <w:t>Links</w:t>
      </w:r>
    </w:p>
    <w:p w:rsidR="00000000" w:rsidRPr="00FD6F7D" w:rsidP="00770900">
      <w:pPr>
        <w:pStyle w:val="BodyText"/>
      </w:pPr>
      <w:r w:rsidRPr="00FD6F7D">
        <w:t>Companion Volumes, including Implementation Guides, are available at VETNe</w:t>
      </w:r>
      <w:r w:rsidRPr="00FD6F7D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D21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D6F7D" w:rsidP="00FD6F7D"/>
    <w:sectPr w:rsidSect="00FD6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D" w:rsidRPr="00770900" w:rsidP="00770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0" w:rsidP="00FD6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900" w:rsidP="00FD6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0900" w:rsidP="00FD6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F7D" w:rsidRPr="00770900" w:rsidP="00770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0" w:rsidRPr="002D2AF8" w:rsidP="00FD6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ACMEQU414 Manage horses to meet sport event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70900" w:rsidP="00FD6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ED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84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43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F7D"/>
  </w:style>
  <w:style w:type="character" w:customStyle="1" w:styleId="Heading1Char">
    <w:name w:val="Heading 1 Char"/>
    <w:basedOn w:val="DefaultParagraphFont"/>
    <w:link w:val="Heading1"/>
    <w:rsid w:val="00FD6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F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6F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6F7D"/>
    <w:rPr>
      <w:i/>
    </w:rPr>
  </w:style>
  <w:style w:type="paragraph" w:customStyle="1" w:styleId="SuperHeading">
    <w:name w:val="SuperHeading"/>
    <w:basedOn w:val="Normal"/>
    <w:rsid w:val="00FD6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6F7D"/>
    <w:rPr>
      <w:b/>
    </w:rPr>
  </w:style>
  <w:style w:type="character" w:customStyle="1" w:styleId="Heading2Char">
    <w:name w:val="Heading 2 Char"/>
    <w:basedOn w:val="DefaultParagraphFont"/>
    <w:link w:val="Heading2"/>
    <w:rsid w:val="00FD6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F7D"/>
    <w:rPr>
      <w:b/>
      <w:spacing w:val="0"/>
    </w:rPr>
  </w:style>
  <w:style w:type="paragraph" w:customStyle="1" w:styleId="SuperTitle">
    <w:name w:val="SuperTitle"/>
    <w:basedOn w:val="Title"/>
    <w:rsid w:val="00FD6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F7D"/>
  </w:style>
  <w:style w:type="paragraph" w:styleId="TableofFigures">
    <w:name w:val="table of figures"/>
    <w:basedOn w:val="Normal"/>
    <w:next w:val="Normal"/>
    <w:semiHidden/>
    <w:rsid w:val="00FD6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F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F7D"/>
    <w:rPr>
      <w:rFonts w:ascii="Wingdings" w:hAnsi="Wingdings"/>
    </w:rPr>
  </w:style>
  <w:style w:type="paragraph" w:customStyle="1" w:styleId="TableHeading">
    <w:name w:val="Table Heading"/>
    <w:basedOn w:val="HeadingBase"/>
    <w:rsid w:val="00FD6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F7D"/>
    <w:rPr>
      <w:color w:val="0033CC"/>
      <w:u w:val="none"/>
    </w:rPr>
  </w:style>
  <w:style w:type="paragraph" w:customStyle="1" w:styleId="BodyTextRight">
    <w:name w:val="Body Text Right"/>
    <w:basedOn w:val="BodyText"/>
    <w:rsid w:val="00FD6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F7D"/>
    <w:rPr>
      <w:sz w:val="32"/>
    </w:rPr>
  </w:style>
  <w:style w:type="paragraph" w:customStyle="1" w:styleId="HeadingProcedure">
    <w:name w:val="Heading Procedure"/>
    <w:basedOn w:val="HeadingBase"/>
    <w:next w:val="Normal"/>
    <w:rsid w:val="00FD6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F7D"/>
    <w:pPr>
      <w:spacing w:before="60" w:after="60"/>
    </w:pPr>
  </w:style>
  <w:style w:type="paragraph" w:styleId="ListContinue">
    <w:name w:val="List Continue"/>
    <w:basedOn w:val="List"/>
    <w:rsid w:val="00FD6F7D"/>
    <w:pPr>
      <w:ind w:firstLine="0"/>
    </w:pPr>
  </w:style>
  <w:style w:type="paragraph" w:customStyle="1" w:styleId="ListNote">
    <w:name w:val="List Note"/>
    <w:basedOn w:val="List"/>
    <w:rsid w:val="00FD6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F7D"/>
    <w:rPr>
      <w:rFonts w:ascii="Courier New" w:hAnsi="Courier New"/>
    </w:rPr>
  </w:style>
  <w:style w:type="paragraph" w:customStyle="1" w:styleId="NoteBullet">
    <w:name w:val="Note Bullet"/>
    <w:basedOn w:val="Note"/>
    <w:rsid w:val="00FD6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F7D"/>
    <w:rPr>
      <w:b/>
      <w:smallCaps/>
    </w:rPr>
  </w:style>
  <w:style w:type="paragraph" w:customStyle="1" w:styleId="TableListNumber">
    <w:name w:val="Table List Number"/>
    <w:basedOn w:val="ListNumber"/>
    <w:rsid w:val="00FD6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F7D"/>
    <w:pPr>
      <w:numPr>
        <w:numId w:val="9"/>
      </w:numPr>
    </w:pPr>
  </w:style>
  <w:style w:type="paragraph" w:customStyle="1" w:styleId="ListAlpha2">
    <w:name w:val="List Alpha 2"/>
    <w:basedOn w:val="List2"/>
    <w:rsid w:val="00FD6F7D"/>
    <w:pPr>
      <w:numPr>
        <w:numId w:val="8"/>
      </w:numPr>
    </w:pPr>
  </w:style>
  <w:style w:type="paragraph" w:styleId="List2">
    <w:name w:val="List 2"/>
    <w:basedOn w:val="BodyText"/>
    <w:rsid w:val="00FD6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F7D"/>
    <w:pPr>
      <w:numPr>
        <w:numId w:val="4"/>
      </w:numPr>
    </w:pPr>
  </w:style>
  <w:style w:type="paragraph" w:styleId="ListContinue2">
    <w:name w:val="List Continue 2"/>
    <w:basedOn w:val="List2"/>
    <w:rsid w:val="00FD6F7D"/>
    <w:pPr>
      <w:ind w:firstLine="0"/>
    </w:pPr>
  </w:style>
  <w:style w:type="paragraph" w:styleId="ListContinue3">
    <w:name w:val="List Continue 3"/>
    <w:basedOn w:val="List3"/>
    <w:rsid w:val="00FD6F7D"/>
    <w:pPr>
      <w:ind w:left="1021" w:firstLine="0"/>
    </w:pPr>
  </w:style>
  <w:style w:type="paragraph" w:styleId="ListContinue4">
    <w:name w:val="List Continue 4"/>
    <w:basedOn w:val="List4"/>
    <w:rsid w:val="00FD6F7D"/>
    <w:pPr>
      <w:ind w:firstLine="0"/>
    </w:pPr>
  </w:style>
  <w:style w:type="paragraph" w:styleId="ListContinue5">
    <w:name w:val="List Continue 5"/>
    <w:basedOn w:val="List5"/>
    <w:rsid w:val="00FD6F7D"/>
    <w:pPr>
      <w:ind w:firstLine="0"/>
    </w:pPr>
  </w:style>
  <w:style w:type="paragraph" w:styleId="ListNumber3">
    <w:name w:val="List Number 3"/>
    <w:basedOn w:val="List3"/>
    <w:rsid w:val="00FD6F7D"/>
    <w:pPr>
      <w:numPr>
        <w:numId w:val="5"/>
      </w:numPr>
    </w:pPr>
  </w:style>
  <w:style w:type="paragraph" w:styleId="ListNumber4">
    <w:name w:val="List Number 4"/>
    <w:basedOn w:val="List4"/>
    <w:rsid w:val="00FD6F7D"/>
    <w:pPr>
      <w:numPr>
        <w:numId w:val="6"/>
      </w:numPr>
    </w:pPr>
  </w:style>
  <w:style w:type="paragraph" w:styleId="ListNumber5">
    <w:name w:val="List Number 5"/>
    <w:basedOn w:val="List5"/>
    <w:rsid w:val="00FD6F7D"/>
    <w:pPr>
      <w:numPr>
        <w:numId w:val="7"/>
      </w:numPr>
    </w:pPr>
  </w:style>
  <w:style w:type="paragraph" w:styleId="BlockText">
    <w:name w:val="Block Text"/>
    <w:basedOn w:val="Normal"/>
    <w:rsid w:val="00FD6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F7D"/>
    <w:rPr>
      <w:sz w:val="16"/>
      <w:vertAlign w:val="superscript"/>
    </w:rPr>
  </w:style>
  <w:style w:type="character" w:customStyle="1" w:styleId="Symbols">
    <w:name w:val="Symbols"/>
    <w:basedOn w:val="DefaultParagraphFont"/>
    <w:rsid w:val="00FD6F7D"/>
    <w:rPr>
      <w:rFonts w:ascii="Symbol" w:hAnsi="Symbol"/>
    </w:rPr>
  </w:style>
  <w:style w:type="character" w:customStyle="1" w:styleId="MenuOptions">
    <w:name w:val="Menu Options"/>
    <w:basedOn w:val="DefaultParagraphFont"/>
    <w:rsid w:val="00FD6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F7D"/>
    <w:rPr>
      <w:b/>
    </w:rPr>
  </w:style>
  <w:style w:type="character" w:customStyle="1" w:styleId="Underlined">
    <w:name w:val="Underlined"/>
    <w:basedOn w:val="DefaultParagraphFont"/>
    <w:rsid w:val="00FD6F7D"/>
    <w:rPr>
      <w:u w:val="single"/>
    </w:rPr>
  </w:style>
  <w:style w:type="paragraph" w:customStyle="1" w:styleId="TableBodyTextRight">
    <w:name w:val="Table Body Text Right"/>
    <w:basedOn w:val="TableBodyText"/>
    <w:rsid w:val="00FD6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F7D"/>
    <w:rPr>
      <w:sz w:val="18"/>
    </w:rPr>
  </w:style>
  <w:style w:type="paragraph" w:customStyle="1" w:styleId="BodySmallRight">
    <w:name w:val="Body Small Right"/>
    <w:basedOn w:val="BodyTextRight"/>
    <w:rsid w:val="00FD6F7D"/>
    <w:rPr>
      <w:sz w:val="18"/>
      <w:szCs w:val="18"/>
    </w:rPr>
  </w:style>
  <w:style w:type="paragraph" w:customStyle="1" w:styleId="MarginEdition">
    <w:name w:val="Margin Edition"/>
    <w:basedOn w:val="MarginNote"/>
    <w:rsid w:val="00FD6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F7D"/>
    <w:rPr>
      <w:sz w:val="2"/>
      <w:szCs w:val="2"/>
    </w:rPr>
  </w:style>
  <w:style w:type="character" w:customStyle="1" w:styleId="Small">
    <w:name w:val="Small"/>
    <w:basedOn w:val="DefaultParagraphFont"/>
    <w:rsid w:val="00FD6F7D"/>
    <w:rPr>
      <w:sz w:val="16"/>
    </w:rPr>
  </w:style>
  <w:style w:type="paragraph" w:customStyle="1" w:styleId="WideTable">
    <w:name w:val="Wide Table"/>
    <w:basedOn w:val="Normal"/>
    <w:rsid w:val="00FD6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F7D"/>
  </w:style>
  <w:style w:type="paragraph" w:styleId="Quote">
    <w:name w:val="Quote"/>
    <w:basedOn w:val="Heading1"/>
    <w:link w:val="QuoteChar"/>
    <w:qFormat/>
    <w:rsid w:val="00FD6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F7D"/>
    <w:pPr>
      <w:pageBreakBefore/>
    </w:pPr>
  </w:style>
  <w:style w:type="paragraph" w:customStyle="1" w:styleId="Border">
    <w:name w:val="Border"/>
    <w:basedOn w:val="Normal"/>
    <w:qFormat/>
    <w:rsid w:val="00FD6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F7D"/>
    <w:rPr>
      <w:u w:val="single"/>
    </w:rPr>
  </w:style>
  <w:style w:type="character" w:customStyle="1" w:styleId="BoldandItalics">
    <w:name w:val="Bold and Italics"/>
    <w:qFormat/>
    <w:rsid w:val="00FD6F7D"/>
    <w:rPr>
      <w:b/>
      <w:i/>
      <w:u w:val="none"/>
    </w:rPr>
  </w:style>
  <w:style w:type="paragraph" w:styleId="BalloonText">
    <w:name w:val="Balloon Text"/>
    <w:basedOn w:val="Normal"/>
    <w:link w:val="BalloonTextChar"/>
    <w:rsid w:val="00FD6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F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0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3977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ACMEQU414 Manage horses to meet sport event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