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75F" w:rsidP="00837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ACMEQU404 Evaluate fit of saddlery and associated equipment</w:t>
      </w:r>
      <w:r>
        <w:fldChar w:fldCharType="end"/>
      </w:r>
    </w:p>
    <w:p w:rsidR="0083775F" w:rsidP="0083775F">
      <w:pPr>
        <w:pStyle w:val="Version"/>
        <w:sectPr w:rsidSect="00170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994" w:rsidP="00170994">
      <w:pPr>
        <w:pStyle w:val="SuperHeading"/>
      </w:pPr>
      <w:r w:rsidRPr="00170994">
        <w:t>Assessment Requirements for ACMEQU404 Evaluate fit of saddlery and associated equipment</w:t>
      </w:r>
    </w:p>
    <w:p w:rsidR="00000000" w:rsidRPr="00170994" w:rsidP="00170994">
      <w:pPr>
        <w:pStyle w:val="Heading1"/>
      </w:pPr>
      <w:bookmarkStart w:id="1" w:name="O_862830"/>
      <w:bookmarkEnd w:id="1"/>
      <w:r w:rsidRPr="00170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994" w:rsidP="00170994">
            <w:pPr>
              <w:pStyle w:val="BodyText"/>
            </w:pPr>
            <w:r w:rsidRPr="001709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994">
            <w:pPr>
              <w:pStyle w:val="BodyText"/>
              <w:rPr>
                <w:lang w:val="en-NZ"/>
              </w:rPr>
            </w:pPr>
            <w:r w:rsidRPr="00170994">
              <w:rPr>
                <w:rStyle w:val="SpecialBold"/>
              </w:rPr>
              <w:t>Comments</w:t>
            </w:r>
          </w:p>
        </w:tc>
      </w:tr>
      <w:tr w:rsidTr="0017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994">
            <w:pPr>
              <w:pStyle w:val="BodyText"/>
              <w:rPr>
                <w:lang w:val="en-NZ"/>
              </w:rPr>
            </w:pPr>
            <w:r w:rsidRPr="001709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994" w:rsidP="00170994">
            <w:pPr>
              <w:pStyle w:val="BodyText"/>
            </w:pPr>
            <w:r w:rsidRPr="00170994">
              <w:t>This version released with ACM Animal Care and Management Training Package Version 1.0.</w:t>
            </w:r>
          </w:p>
        </w:tc>
      </w:tr>
    </w:tbl>
    <w:p w:rsidR="00000000" w:rsidRPr="00170994" w:rsidP="00170994">
      <w:pPr>
        <w:pStyle w:val="BodyText"/>
      </w:pPr>
    </w:p>
    <w:p w:rsidR="00000000" w:rsidRPr="00170994" w:rsidP="00170994">
      <w:pPr>
        <w:pStyle w:val="AllowPageBreak"/>
      </w:pPr>
    </w:p>
    <w:p w:rsidR="00000000" w:rsidRPr="00170994" w:rsidP="00170994">
      <w:pPr>
        <w:pStyle w:val="Heading1"/>
      </w:pPr>
      <w:bookmarkStart w:id="2" w:name="O_862831"/>
      <w:bookmarkEnd w:id="2"/>
      <w:r w:rsidRPr="00170994">
        <w:t>Performance Evidence</w:t>
      </w:r>
    </w:p>
    <w:p w:rsidR="00000000" w:rsidRPr="00170994" w:rsidP="0083775F">
      <w:pPr>
        <w:pStyle w:val="BodyText"/>
      </w:pPr>
      <w:r w:rsidRPr="00170994">
        <w:t>An individual demonstrating competency in this unit must satisfy all of the elements and performance criteria of this unit.</w:t>
      </w:r>
    </w:p>
    <w:p w:rsidR="00000000" w:rsidRPr="00170994" w:rsidP="0083775F">
      <w:pPr>
        <w:pStyle w:val="BodyText"/>
      </w:pPr>
      <w:r w:rsidRPr="00170994">
        <w:t>There must be evidence that the individual evaluated the fit of a range of saddlery and associated equi</w:t>
      </w:r>
      <w:r w:rsidRPr="00170994">
        <w:t>pment on at least three different horses of varying size and shape with different accessory needs, including:</w:t>
      </w:r>
    </w:p>
    <w:p w:rsidR="00000000" w:rsidRPr="00170994" w:rsidP="00170994">
      <w:pPr>
        <w:pStyle w:val="ListBullet"/>
      </w:pPr>
      <w:r w:rsidRPr="00170994">
        <w:t>assessing construction, purpose and suitability of saddlery and equipment for horse, rider and activity</w:t>
      </w:r>
    </w:p>
    <w:p w:rsidR="00000000" w:rsidRPr="00170994" w:rsidP="00170994">
      <w:pPr>
        <w:pStyle w:val="ListBullet"/>
      </w:pPr>
      <w:r w:rsidRPr="00170994">
        <w:t>assessing fit and condition of saddlery a</w:t>
      </w:r>
      <w:r w:rsidRPr="00170994">
        <w:t>nd associated equipment and making recommendations on adjustments and maintenance</w:t>
      </w:r>
    </w:p>
    <w:p w:rsidR="00000000" w:rsidRPr="00170994" w:rsidP="00170994">
      <w:pPr>
        <w:pStyle w:val="ListBullet"/>
      </w:pPr>
      <w:r w:rsidRPr="00170994">
        <w:t>using safe work practices around horses and assessing risks to riders, horses and self in relation to saddlery and equipment.</w:t>
      </w:r>
    </w:p>
    <w:p w:rsidR="00000000" w:rsidRPr="00170994" w:rsidP="00170994">
      <w:pPr>
        <w:pStyle w:val="AllowPageBreak"/>
      </w:pPr>
    </w:p>
    <w:p w:rsidR="00000000" w:rsidRPr="00170994" w:rsidP="00170994">
      <w:pPr>
        <w:pStyle w:val="Heading1"/>
      </w:pPr>
      <w:bookmarkStart w:id="3" w:name="O_862832"/>
      <w:bookmarkEnd w:id="3"/>
      <w:r w:rsidRPr="00170994">
        <w:t>Knowledge Evidence</w:t>
      </w:r>
    </w:p>
    <w:p w:rsidR="00000000" w:rsidRPr="00170994" w:rsidP="0083775F">
      <w:pPr>
        <w:pStyle w:val="BodyText"/>
      </w:pPr>
      <w:r w:rsidRPr="00170994">
        <w:t>An individual must be able to demonstrate the knowledge required to perform the tasks outlined in the elements and performance criteria of this unit. This includes knowledge of:</w:t>
      </w:r>
    </w:p>
    <w:p w:rsidR="00000000" w:rsidRPr="00170994" w:rsidP="00170994">
      <w:pPr>
        <w:pStyle w:val="ListBullet"/>
      </w:pPr>
      <w:r w:rsidRPr="00170994">
        <w:t>saddlery and associated equipment, including:</w:t>
      </w:r>
    </w:p>
    <w:p w:rsidR="00000000" w:rsidRPr="00170994" w:rsidP="00170994">
      <w:pPr>
        <w:pStyle w:val="ListBullet2"/>
      </w:pPr>
      <w:r w:rsidRPr="00170994">
        <w:t>range available, including des</w:t>
      </w:r>
      <w:r w:rsidRPr="00170994">
        <w:t>igns, styles, materials and purpose</w:t>
      </w:r>
    </w:p>
    <w:p w:rsidR="00000000" w:rsidRPr="00170994" w:rsidP="00170994">
      <w:pPr>
        <w:pStyle w:val="ListBullet2"/>
      </w:pPr>
      <w:r w:rsidRPr="00170994">
        <w:t>saddlery and associated equipment relevant to different horse activities</w:t>
      </w:r>
    </w:p>
    <w:p w:rsidR="00000000" w:rsidRPr="00170994" w:rsidP="00170994">
      <w:pPr>
        <w:pStyle w:val="ListBullet"/>
      </w:pPr>
      <w:r w:rsidRPr="00170994">
        <w:t>anatomical and physiological structures, features and functions of the horse related to the fit of saddlery and equipment</w:t>
      </w:r>
    </w:p>
    <w:p w:rsidR="00000000" w:rsidRPr="00170994" w:rsidP="00170994">
      <w:pPr>
        <w:pStyle w:val="ListBullet"/>
      </w:pPr>
      <w:r w:rsidRPr="00170994">
        <w:t>safety aspects, includin</w:t>
      </w:r>
      <w:r w:rsidRPr="00170994">
        <w:t>g:</w:t>
      </w:r>
    </w:p>
    <w:p w:rsidR="00000000" w:rsidRPr="00170994" w:rsidP="00170994">
      <w:pPr>
        <w:pStyle w:val="ListBullet2"/>
      </w:pPr>
      <w:r w:rsidRPr="00170994">
        <w:t>safety devices, systems and technologies relevant to saddlery and associated equipment</w:t>
      </w:r>
    </w:p>
    <w:p w:rsidR="00000000" w:rsidRPr="00170994" w:rsidP="00170994">
      <w:pPr>
        <w:pStyle w:val="ListBullet2"/>
      </w:pPr>
      <w:r w:rsidRPr="00170994">
        <w:t>rider levels of experience</w:t>
      </w:r>
    </w:p>
    <w:p w:rsidR="00000000" w:rsidRPr="00170994" w:rsidP="00170994">
      <w:pPr>
        <w:pStyle w:val="ListBullet2"/>
      </w:pPr>
      <w:r w:rsidRPr="00170994">
        <w:t>checking and maintaining saddlery and associated equipment</w:t>
      </w:r>
    </w:p>
    <w:p w:rsidR="00000000" w:rsidRPr="00170994" w:rsidP="00170994">
      <w:pPr>
        <w:pStyle w:val="ListBullet2"/>
      </w:pPr>
      <w:r w:rsidRPr="00170994">
        <w:t>risk assessment and control</w:t>
      </w:r>
    </w:p>
    <w:p w:rsidR="00000000" w:rsidRPr="00170994" w:rsidP="00170994">
      <w:pPr>
        <w:pStyle w:val="ListBullet2"/>
      </w:pPr>
      <w:r w:rsidRPr="00170994">
        <w:t>safe horse handling techniques</w:t>
      </w:r>
    </w:p>
    <w:p w:rsidR="00000000" w:rsidRPr="00170994" w:rsidP="00170994">
      <w:pPr>
        <w:pStyle w:val="ListBullet2"/>
      </w:pPr>
      <w:r w:rsidRPr="00170994">
        <w:t>safe manual handling</w:t>
      </w:r>
      <w:r w:rsidRPr="00170994">
        <w:t>, including lifting and storing height of saddles</w:t>
      </w:r>
    </w:p>
    <w:p w:rsidR="00000000" w:rsidRPr="00170994" w:rsidP="00170994">
      <w:pPr>
        <w:pStyle w:val="ListBullet2"/>
      </w:pPr>
      <w:r w:rsidRPr="00170994">
        <w:t>personal protective equipment (PPE)</w:t>
      </w:r>
    </w:p>
    <w:p w:rsidR="00000000" w:rsidRPr="00170994" w:rsidP="00170994">
      <w:pPr>
        <w:pStyle w:val="ListBullet2"/>
      </w:pPr>
      <w:r w:rsidRPr="00170994">
        <w:t>industry terminology related to saddlery and associated equipment fit and purpose</w:t>
      </w:r>
    </w:p>
    <w:p w:rsidR="00000000" w:rsidRPr="00170994" w:rsidP="00170994">
      <w:pPr>
        <w:pStyle w:val="ListBullet"/>
      </w:pPr>
      <w:r w:rsidRPr="00170994">
        <w:t>recognising correct and incorrectly fitted saddles for horse and rider, including:</w:t>
      </w:r>
    </w:p>
    <w:p w:rsidR="00000000" w:rsidRPr="00170994" w:rsidP="00170994">
      <w:pPr>
        <w:pStyle w:val="ListBullet2"/>
      </w:pPr>
      <w:r w:rsidRPr="00170994">
        <w:t>saddles</w:t>
      </w:r>
    </w:p>
    <w:p w:rsidR="00000000" w:rsidRPr="00170994" w:rsidP="00170994">
      <w:pPr>
        <w:pStyle w:val="ListBullet2"/>
      </w:pPr>
      <w:r w:rsidRPr="00170994">
        <w:t>girths</w:t>
      </w:r>
    </w:p>
    <w:p w:rsidR="00000000" w:rsidRPr="00170994" w:rsidP="00170994">
      <w:pPr>
        <w:pStyle w:val="ListBullet2"/>
      </w:pPr>
      <w:r w:rsidRPr="00170994">
        <w:t>surcingles</w:t>
      </w:r>
    </w:p>
    <w:p w:rsidR="00000000" w:rsidRPr="00170994" w:rsidP="00170994">
      <w:pPr>
        <w:pStyle w:val="ListBullet2"/>
      </w:pPr>
      <w:r w:rsidRPr="00170994">
        <w:t>stirrup leathers</w:t>
      </w:r>
    </w:p>
    <w:p w:rsidR="00000000" w:rsidRPr="00170994" w:rsidP="00170994">
      <w:pPr>
        <w:pStyle w:val="ListBullet2"/>
      </w:pPr>
      <w:r w:rsidRPr="00170994">
        <w:t>stirrup irons</w:t>
      </w:r>
    </w:p>
    <w:p w:rsidR="00000000" w:rsidRPr="00170994" w:rsidP="00170994">
      <w:pPr>
        <w:pStyle w:val="ListBullet2"/>
      </w:pPr>
      <w:r w:rsidRPr="00170994">
        <w:t>horse behaviour relevant to correctly and incorrectly fitted saddlery</w:t>
      </w:r>
    </w:p>
    <w:p w:rsidR="00000000" w:rsidRPr="00170994" w:rsidP="00170994">
      <w:pPr>
        <w:pStyle w:val="ListBullet2"/>
      </w:pPr>
      <w:r w:rsidRPr="00170994">
        <w:t>rider physical signs relevant to correctly and incorrectly fitted saddlery</w:t>
      </w:r>
    </w:p>
    <w:p w:rsidR="00000000" w:rsidRPr="00170994" w:rsidP="00170994">
      <w:pPr>
        <w:pStyle w:val="ListBullet"/>
      </w:pPr>
      <w:r w:rsidRPr="00170994">
        <w:t>correct and incorrectly fitted associated equipment f</w:t>
      </w:r>
      <w:r w:rsidRPr="00170994">
        <w:t>or horse and rider, including:</w:t>
      </w:r>
    </w:p>
    <w:p w:rsidR="00000000" w:rsidRPr="00170994" w:rsidP="00170994">
      <w:pPr>
        <w:pStyle w:val="ListBullet2"/>
      </w:pPr>
      <w:r w:rsidRPr="00170994">
        <w:t>bridles</w:t>
      </w:r>
    </w:p>
    <w:p w:rsidR="00000000" w:rsidRPr="00170994" w:rsidP="00170994">
      <w:pPr>
        <w:pStyle w:val="ListBullet2"/>
      </w:pPr>
      <w:r w:rsidRPr="00170994">
        <w:t>bits</w:t>
      </w:r>
    </w:p>
    <w:p w:rsidR="00000000" w:rsidRPr="00170994" w:rsidP="00170994">
      <w:pPr>
        <w:pStyle w:val="ListBullet2"/>
      </w:pPr>
      <w:r w:rsidRPr="00170994">
        <w:t>breastplates</w:t>
      </w:r>
    </w:p>
    <w:p w:rsidR="00000000" w:rsidRPr="00170994" w:rsidP="00170994">
      <w:pPr>
        <w:pStyle w:val="ListBullet2"/>
      </w:pPr>
      <w:r w:rsidRPr="00170994">
        <w:t>cruppers</w:t>
      </w:r>
    </w:p>
    <w:p w:rsidR="00000000" w:rsidRPr="00170994" w:rsidP="00170994">
      <w:pPr>
        <w:pStyle w:val="ListBullet2"/>
      </w:pPr>
      <w:r w:rsidRPr="00170994">
        <w:t>nosebands</w:t>
      </w:r>
    </w:p>
    <w:p w:rsidR="00000000" w:rsidRPr="00170994" w:rsidP="00170994">
      <w:pPr>
        <w:pStyle w:val="ListBullet2"/>
      </w:pPr>
      <w:r w:rsidRPr="00170994">
        <w:t>horse behaviour relevant to correctly and incorrectly fitted equipment</w:t>
      </w:r>
    </w:p>
    <w:p w:rsidR="00000000" w:rsidRPr="00170994" w:rsidP="00170994">
      <w:pPr>
        <w:pStyle w:val="ListBullet2"/>
      </w:pPr>
      <w:r w:rsidRPr="00170994">
        <w:t>rider physical signs relevant to correctly and incorrectly fitted equipment</w:t>
      </w:r>
    </w:p>
    <w:p w:rsidR="00000000" w:rsidRPr="00170994" w:rsidP="00170994">
      <w:pPr>
        <w:pStyle w:val="ListBullet"/>
      </w:pPr>
      <w:r w:rsidRPr="00170994">
        <w:t>tools and techniques for fitting saddles, bridles, bits, boots and bandages</w:t>
      </w:r>
    </w:p>
    <w:p w:rsidR="00000000" w:rsidRPr="00170994" w:rsidP="00170994">
      <w:pPr>
        <w:pStyle w:val="ListBullet"/>
      </w:pPr>
      <w:r w:rsidRPr="00170994">
        <w:t>methods used to adjust fit of saddlery and associated equipment</w:t>
      </w:r>
    </w:p>
    <w:p w:rsidR="00000000" w:rsidRPr="00170994" w:rsidP="00170994">
      <w:pPr>
        <w:pStyle w:val="ListBullet"/>
      </w:pPr>
      <w:r w:rsidRPr="00170994">
        <w:t>industry or discipline guidelines, requirements or rules for saddlery and associated equipment</w:t>
      </w:r>
    </w:p>
    <w:p w:rsidR="00000000" w:rsidRPr="00170994" w:rsidP="00170994">
      <w:pPr>
        <w:pStyle w:val="ListBullet"/>
      </w:pPr>
      <w:r w:rsidRPr="00170994">
        <w:t>professional saddle-f</w:t>
      </w:r>
      <w:r w:rsidRPr="00170994">
        <w:t>itting contractors</w:t>
      </w:r>
    </w:p>
    <w:p w:rsidR="00000000" w:rsidRPr="00170994" w:rsidP="00170994">
      <w:pPr>
        <w:pStyle w:val="ListBullet"/>
      </w:pPr>
      <w:r w:rsidRPr="00170994">
        <w:t>key requirements of biosecurity standards and workplace hygiene relating to saddlery and equipment</w:t>
      </w:r>
    </w:p>
    <w:p w:rsidR="00000000" w:rsidRPr="00170994" w:rsidP="00170994">
      <w:pPr>
        <w:pStyle w:val="ListBullet"/>
      </w:pPr>
      <w:r w:rsidRPr="00170994">
        <w:t>key principles and practices of animal welfare relating to use and comfort of saddlery and equipment, and humane and ethical handling of h</w:t>
      </w:r>
      <w:r w:rsidRPr="00170994">
        <w:t>orses.</w:t>
      </w:r>
    </w:p>
    <w:p w:rsidR="00000000" w:rsidRPr="00170994" w:rsidP="00170994">
      <w:pPr>
        <w:pStyle w:val="AllowPageBreak"/>
      </w:pPr>
    </w:p>
    <w:p w:rsidR="00000000" w:rsidRPr="00170994" w:rsidP="00170994">
      <w:pPr>
        <w:pStyle w:val="Heading1"/>
      </w:pPr>
      <w:bookmarkStart w:id="4" w:name="O_862833"/>
      <w:bookmarkEnd w:id="4"/>
      <w:r w:rsidRPr="00170994">
        <w:t>Assessment Conditions</w:t>
      </w:r>
    </w:p>
    <w:p w:rsidR="00000000" w:rsidRPr="00170994" w:rsidP="0083775F">
      <w:pPr>
        <w:pStyle w:val="BodyText"/>
      </w:pPr>
      <w:r w:rsidRPr="00170994">
        <w:t>Assessment of skills must take place under the following conditions:</w:t>
      </w:r>
    </w:p>
    <w:p w:rsidR="00000000" w:rsidRPr="00170994" w:rsidP="00170994">
      <w:pPr>
        <w:pStyle w:val="ListBullet"/>
      </w:pPr>
      <w:r w:rsidRPr="00170994">
        <w:t>physical conditions:</w:t>
      </w:r>
    </w:p>
    <w:p w:rsidR="00000000" w:rsidRPr="00170994" w:rsidP="00170994">
      <w:pPr>
        <w:pStyle w:val="ListBullet2"/>
      </w:pPr>
      <w:r w:rsidRPr="00170994">
        <w:t>a workplace or an environment that accurately represents workplace conditions</w:t>
      </w:r>
    </w:p>
    <w:p w:rsidR="00000000" w:rsidRPr="00170994" w:rsidP="00170994">
      <w:pPr>
        <w:pStyle w:val="ListBullet"/>
      </w:pPr>
      <w:r w:rsidRPr="00170994">
        <w:t>resources, equipment and materials:</w:t>
      </w:r>
    </w:p>
    <w:p w:rsidR="00000000" w:rsidRPr="00170994" w:rsidP="00170994">
      <w:pPr>
        <w:pStyle w:val="ListBullet2"/>
      </w:pPr>
      <w:r w:rsidRPr="00170994">
        <w:t>a range of saddlery and associated equipment suited to different activities</w:t>
      </w:r>
    </w:p>
    <w:p w:rsidR="00000000" w:rsidRPr="00170994" w:rsidP="00170994">
      <w:pPr>
        <w:pStyle w:val="ListBullet2"/>
      </w:pPr>
      <w:r w:rsidRPr="00170994">
        <w:t>various horses of different breeds and ages fitted with saddlery and equipment to check and adjust assessed as suitable for the skill and experience of the individual.</w:t>
      </w:r>
    </w:p>
    <w:p w:rsidR="00000000" w:rsidRPr="00170994" w:rsidP="00170994">
      <w:pPr>
        <w:pStyle w:val="BodyText"/>
      </w:pPr>
    </w:p>
    <w:p w:rsidR="00000000" w:rsidRPr="00170994" w:rsidP="0083775F">
      <w:pPr>
        <w:pStyle w:val="BodyText"/>
      </w:pPr>
      <w:r w:rsidRPr="00170994">
        <w:t>Training an</w:t>
      </w:r>
      <w:r w:rsidRPr="00170994">
        <w:t xml:space="preserve">d assessment strategies must show evidence of the use of guidance provided in the </w:t>
      </w:r>
      <w:r w:rsidRPr="00170994">
        <w:rPr>
          <w:rStyle w:val="Emphasis"/>
        </w:rPr>
        <w:t>Companion Volume: User Guide: Safety in Equine Training</w:t>
      </w:r>
      <w:r w:rsidRPr="00170994">
        <w:t>.</w:t>
      </w:r>
    </w:p>
    <w:p w:rsidR="00000000" w:rsidRPr="00170994" w:rsidP="0083775F">
      <w:pPr>
        <w:pStyle w:val="BodyText"/>
      </w:pPr>
      <w:r w:rsidRPr="00170994">
        <w:t>Assessors of this unit must satisfy the requirements for assessors in applicable vocational education and training le</w:t>
      </w:r>
      <w:r w:rsidRPr="00170994">
        <w:t>gislation, frameworks and/or standards.</w:t>
      </w:r>
    </w:p>
    <w:p w:rsidR="00000000" w:rsidRPr="00170994" w:rsidP="00170994">
      <w:pPr>
        <w:pStyle w:val="Heading1"/>
      </w:pPr>
      <w:bookmarkStart w:id="5" w:name="O_862836"/>
      <w:bookmarkEnd w:id="5"/>
      <w:r w:rsidRPr="00170994">
        <w:t>Links</w:t>
      </w:r>
    </w:p>
    <w:p w:rsidR="00000000" w:rsidRPr="00170994" w:rsidP="0083775F">
      <w:pPr>
        <w:pStyle w:val="BodyText"/>
      </w:pPr>
      <w:r w:rsidRPr="00170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B08D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70994" w:rsidP="00170994"/>
    <w:sectPr w:rsidSect="001709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994" w:rsidRPr="0083775F" w:rsidP="00837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5F" w:rsidP="00170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75F" w:rsidP="00170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775F" w:rsidP="00170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994" w:rsidRPr="0083775F" w:rsidP="00837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5F" w:rsidRPr="002D2AF8" w:rsidP="00170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ACMEQU404 Evaluate fit of saddlery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83775F" w:rsidP="00170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27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20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EC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994"/>
  </w:style>
  <w:style w:type="character" w:customStyle="1" w:styleId="Heading1Char">
    <w:name w:val="Heading 1 Char"/>
    <w:basedOn w:val="DefaultParagraphFont"/>
    <w:link w:val="Heading1"/>
    <w:rsid w:val="00170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9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994"/>
    <w:rPr>
      <w:b/>
      <w:spacing w:val="0"/>
    </w:rPr>
  </w:style>
  <w:style w:type="paragraph" w:styleId="ListBullet2">
    <w:name w:val="List Bullet 2"/>
    <w:basedOn w:val="List2"/>
    <w:rsid w:val="001709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0994"/>
    <w:rPr>
      <w:i/>
    </w:rPr>
  </w:style>
  <w:style w:type="paragraph" w:customStyle="1" w:styleId="SuperHeading">
    <w:name w:val="SuperHeading"/>
    <w:basedOn w:val="Normal"/>
    <w:rsid w:val="00170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0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0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994"/>
  </w:style>
  <w:style w:type="paragraph" w:styleId="TableofFigures">
    <w:name w:val="table of figures"/>
    <w:basedOn w:val="Normal"/>
    <w:next w:val="Normal"/>
    <w:semiHidden/>
    <w:rsid w:val="00170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0994"/>
    <w:rPr>
      <w:rFonts w:ascii="Wingdings" w:hAnsi="Wingdings"/>
    </w:rPr>
  </w:style>
  <w:style w:type="paragraph" w:customStyle="1" w:styleId="TableHeading">
    <w:name w:val="Table Heading"/>
    <w:basedOn w:val="HeadingBase"/>
    <w:rsid w:val="00170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994"/>
    <w:rPr>
      <w:color w:val="0033CC"/>
      <w:u w:val="none"/>
    </w:rPr>
  </w:style>
  <w:style w:type="paragraph" w:customStyle="1" w:styleId="BodyTextRight">
    <w:name w:val="Body Text Right"/>
    <w:basedOn w:val="BodyText"/>
    <w:rsid w:val="00170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994"/>
    <w:rPr>
      <w:sz w:val="32"/>
    </w:rPr>
  </w:style>
  <w:style w:type="paragraph" w:customStyle="1" w:styleId="HeadingProcedure">
    <w:name w:val="Heading Procedure"/>
    <w:basedOn w:val="HeadingBase"/>
    <w:next w:val="Normal"/>
    <w:rsid w:val="00170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994"/>
    <w:pPr>
      <w:spacing w:before="60" w:after="60"/>
    </w:pPr>
  </w:style>
  <w:style w:type="paragraph" w:styleId="ListContinue">
    <w:name w:val="List Continue"/>
    <w:basedOn w:val="List"/>
    <w:rsid w:val="00170994"/>
    <w:pPr>
      <w:ind w:firstLine="0"/>
    </w:pPr>
  </w:style>
  <w:style w:type="paragraph" w:customStyle="1" w:styleId="ListNote">
    <w:name w:val="List Note"/>
    <w:basedOn w:val="List"/>
    <w:rsid w:val="00170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994"/>
    <w:rPr>
      <w:rFonts w:ascii="Courier New" w:hAnsi="Courier New"/>
    </w:rPr>
  </w:style>
  <w:style w:type="paragraph" w:customStyle="1" w:styleId="NoteBullet">
    <w:name w:val="Note Bullet"/>
    <w:basedOn w:val="Note"/>
    <w:rsid w:val="00170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0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994"/>
    <w:rPr>
      <w:b/>
      <w:smallCaps/>
    </w:rPr>
  </w:style>
  <w:style w:type="paragraph" w:customStyle="1" w:styleId="TableListNumber">
    <w:name w:val="Table List Number"/>
    <w:basedOn w:val="ListNumber"/>
    <w:rsid w:val="00170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994"/>
    <w:pPr>
      <w:numPr>
        <w:numId w:val="9"/>
      </w:numPr>
    </w:pPr>
  </w:style>
  <w:style w:type="paragraph" w:customStyle="1" w:styleId="ListAlpha2">
    <w:name w:val="List Alpha 2"/>
    <w:basedOn w:val="List2"/>
    <w:rsid w:val="00170994"/>
    <w:pPr>
      <w:numPr>
        <w:numId w:val="8"/>
      </w:numPr>
    </w:pPr>
  </w:style>
  <w:style w:type="paragraph" w:styleId="List2">
    <w:name w:val="List 2"/>
    <w:basedOn w:val="BodyText"/>
    <w:rsid w:val="00170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0994"/>
    <w:pPr>
      <w:numPr>
        <w:numId w:val="4"/>
      </w:numPr>
    </w:pPr>
  </w:style>
  <w:style w:type="paragraph" w:styleId="ListContinue2">
    <w:name w:val="List Continue 2"/>
    <w:basedOn w:val="List2"/>
    <w:rsid w:val="00170994"/>
    <w:pPr>
      <w:ind w:firstLine="0"/>
    </w:pPr>
  </w:style>
  <w:style w:type="paragraph" w:styleId="ListContinue3">
    <w:name w:val="List Continue 3"/>
    <w:basedOn w:val="List3"/>
    <w:rsid w:val="00170994"/>
    <w:pPr>
      <w:ind w:left="1021" w:firstLine="0"/>
    </w:pPr>
  </w:style>
  <w:style w:type="paragraph" w:styleId="ListContinue4">
    <w:name w:val="List Continue 4"/>
    <w:basedOn w:val="List4"/>
    <w:rsid w:val="00170994"/>
    <w:pPr>
      <w:ind w:firstLine="0"/>
    </w:pPr>
  </w:style>
  <w:style w:type="paragraph" w:styleId="ListContinue5">
    <w:name w:val="List Continue 5"/>
    <w:basedOn w:val="List5"/>
    <w:rsid w:val="00170994"/>
    <w:pPr>
      <w:ind w:firstLine="0"/>
    </w:pPr>
  </w:style>
  <w:style w:type="paragraph" w:styleId="ListNumber3">
    <w:name w:val="List Number 3"/>
    <w:basedOn w:val="List3"/>
    <w:rsid w:val="00170994"/>
    <w:pPr>
      <w:numPr>
        <w:numId w:val="5"/>
      </w:numPr>
    </w:pPr>
  </w:style>
  <w:style w:type="paragraph" w:styleId="ListNumber4">
    <w:name w:val="List Number 4"/>
    <w:basedOn w:val="List4"/>
    <w:rsid w:val="00170994"/>
    <w:pPr>
      <w:numPr>
        <w:numId w:val="6"/>
      </w:numPr>
    </w:pPr>
  </w:style>
  <w:style w:type="paragraph" w:styleId="ListNumber5">
    <w:name w:val="List Number 5"/>
    <w:basedOn w:val="List5"/>
    <w:rsid w:val="00170994"/>
    <w:pPr>
      <w:numPr>
        <w:numId w:val="7"/>
      </w:numPr>
    </w:pPr>
  </w:style>
  <w:style w:type="paragraph" w:styleId="BlockText">
    <w:name w:val="Block Text"/>
    <w:basedOn w:val="Normal"/>
    <w:rsid w:val="00170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994"/>
    <w:rPr>
      <w:sz w:val="16"/>
      <w:vertAlign w:val="superscript"/>
    </w:rPr>
  </w:style>
  <w:style w:type="character" w:customStyle="1" w:styleId="Symbols">
    <w:name w:val="Symbols"/>
    <w:basedOn w:val="DefaultParagraphFont"/>
    <w:rsid w:val="00170994"/>
    <w:rPr>
      <w:rFonts w:ascii="Symbol" w:hAnsi="Symbol"/>
    </w:rPr>
  </w:style>
  <w:style w:type="character" w:customStyle="1" w:styleId="MenuOptions">
    <w:name w:val="Menu Options"/>
    <w:basedOn w:val="DefaultParagraphFont"/>
    <w:rsid w:val="00170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994"/>
    <w:rPr>
      <w:b/>
    </w:rPr>
  </w:style>
  <w:style w:type="character" w:customStyle="1" w:styleId="Underlined">
    <w:name w:val="Underlined"/>
    <w:basedOn w:val="DefaultParagraphFont"/>
    <w:rsid w:val="00170994"/>
    <w:rPr>
      <w:u w:val="single"/>
    </w:rPr>
  </w:style>
  <w:style w:type="paragraph" w:customStyle="1" w:styleId="TableBodyTextRight">
    <w:name w:val="Table Body Text Right"/>
    <w:basedOn w:val="TableBodyText"/>
    <w:rsid w:val="00170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994"/>
    <w:rPr>
      <w:sz w:val="18"/>
    </w:rPr>
  </w:style>
  <w:style w:type="paragraph" w:customStyle="1" w:styleId="BodySmallRight">
    <w:name w:val="Body Small Right"/>
    <w:basedOn w:val="BodyTextRight"/>
    <w:rsid w:val="00170994"/>
    <w:rPr>
      <w:sz w:val="18"/>
      <w:szCs w:val="18"/>
    </w:rPr>
  </w:style>
  <w:style w:type="paragraph" w:customStyle="1" w:styleId="MarginEdition">
    <w:name w:val="Margin Edition"/>
    <w:basedOn w:val="MarginNote"/>
    <w:rsid w:val="00170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994"/>
    <w:rPr>
      <w:sz w:val="2"/>
      <w:szCs w:val="2"/>
    </w:rPr>
  </w:style>
  <w:style w:type="character" w:customStyle="1" w:styleId="Small">
    <w:name w:val="Small"/>
    <w:basedOn w:val="DefaultParagraphFont"/>
    <w:rsid w:val="00170994"/>
    <w:rPr>
      <w:sz w:val="16"/>
    </w:rPr>
  </w:style>
  <w:style w:type="paragraph" w:customStyle="1" w:styleId="WideTable">
    <w:name w:val="Wide Table"/>
    <w:basedOn w:val="Normal"/>
    <w:rsid w:val="00170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994"/>
  </w:style>
  <w:style w:type="paragraph" w:styleId="Quote">
    <w:name w:val="Quote"/>
    <w:basedOn w:val="Heading1"/>
    <w:link w:val="QuoteChar"/>
    <w:qFormat/>
    <w:rsid w:val="00170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994"/>
    <w:pPr>
      <w:pageBreakBefore/>
    </w:pPr>
  </w:style>
  <w:style w:type="paragraph" w:customStyle="1" w:styleId="Border">
    <w:name w:val="Border"/>
    <w:basedOn w:val="Normal"/>
    <w:qFormat/>
    <w:rsid w:val="00170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994"/>
    <w:rPr>
      <w:u w:val="single"/>
    </w:rPr>
  </w:style>
  <w:style w:type="character" w:customStyle="1" w:styleId="BoldandItalics">
    <w:name w:val="Bold and Italics"/>
    <w:qFormat/>
    <w:rsid w:val="00170994"/>
    <w:rPr>
      <w:b/>
      <w:i/>
      <w:u w:val="none"/>
    </w:rPr>
  </w:style>
  <w:style w:type="paragraph" w:styleId="BalloonText">
    <w:name w:val="Balloon Text"/>
    <w:basedOn w:val="Normal"/>
    <w:link w:val="BalloonTextChar"/>
    <w:rsid w:val="00170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994"/>
    <w:pPr>
      <w:spacing w:before="0" w:after="0"/>
    </w:pPr>
  </w:style>
  <w:style w:type="paragraph" w:customStyle="1" w:styleId="BodyTextBold">
    <w:name w:val="Body Text Bold"/>
    <w:basedOn w:val="BodyText"/>
    <w:qFormat/>
    <w:rsid w:val="00170994"/>
    <w:rPr>
      <w:b/>
    </w:rPr>
  </w:style>
  <w:style w:type="character" w:styleId="Hyperlink">
    <w:name w:val="Hyperlink"/>
    <w:basedOn w:val="DefaultParagraphFont"/>
    <w:uiPriority w:val="99"/>
    <w:unhideWhenUsed/>
    <w:rsid w:val="00837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3631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ACMEQU404 Evaluate fit of saddlery and associated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2021-07-23T04:47:00Z</dcterms:created>
  <dcterms:modified xsi:type="dcterms:W3CDTF">2021-07-23T04:47:00Z</dcterms:modified>
</cp:coreProperties>
</file>