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5A2" w:rsidP="00DE1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ACMEQU401 Relate equine anatomical and physiological features to equine health care requirements</w:t>
      </w:r>
      <w:r>
        <w:fldChar w:fldCharType="end"/>
      </w:r>
    </w:p>
    <w:p w:rsidR="00DE15A2" w:rsidP="00DE15A2">
      <w:pPr>
        <w:pStyle w:val="Version"/>
        <w:sectPr w:rsidSect="001A0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E97" w:rsidP="001A0E97">
      <w:pPr>
        <w:pStyle w:val="SuperHeading"/>
      </w:pPr>
      <w:r w:rsidRPr="001A0E97">
        <w:t>ACMEQU401 Relate equine anatomical and physiological features to equine health care requirements</w:t>
      </w:r>
    </w:p>
    <w:p w:rsidR="00000000" w:rsidRPr="001A0E97" w:rsidP="001A0E97">
      <w:pPr>
        <w:pStyle w:val="Heading1"/>
      </w:pPr>
      <w:bookmarkStart w:id="1" w:name="O_862698"/>
      <w:bookmarkEnd w:id="1"/>
      <w:r w:rsidRPr="001A0E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0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rPr>
                <w:rStyle w:val="SpecialBold"/>
              </w:rPr>
              <w:t>Comments</w:t>
            </w:r>
          </w:p>
        </w:tc>
      </w:tr>
      <w:tr w:rsidTr="001A0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t>This version released with ACM Animal Care and Management Training Package Version 1.0.</w:t>
            </w:r>
          </w:p>
        </w:tc>
      </w:tr>
    </w:tbl>
    <w:p w:rsidR="00000000" w:rsidRPr="001A0E97" w:rsidP="001A0E97">
      <w:pPr>
        <w:pStyle w:val="BodyText"/>
      </w:pPr>
    </w:p>
    <w:p w:rsidR="00000000" w:rsidRPr="001A0E97" w:rsidP="001A0E97">
      <w:pPr>
        <w:pStyle w:val="AllowPageBreak"/>
      </w:pPr>
    </w:p>
    <w:p w:rsidR="00000000" w:rsidRPr="001A0E97" w:rsidP="001A0E97">
      <w:pPr>
        <w:pStyle w:val="Heading1"/>
      </w:pPr>
      <w:bookmarkStart w:id="2" w:name="O_862699"/>
      <w:bookmarkEnd w:id="2"/>
      <w:r w:rsidRPr="001A0E97">
        <w:t>Application</w:t>
      </w:r>
    </w:p>
    <w:p w:rsidR="00000000" w:rsidRPr="001A0E97" w:rsidP="00DE15A2">
      <w:pPr>
        <w:pStyle w:val="BodyText"/>
      </w:pPr>
      <w:r w:rsidRPr="001A0E97">
        <w:t>This unit of competency covers the skills and knowledge required to evaluate a range of ailments and diseases that could occur in horses and describe their impact on other body systems and the health of horses.</w:t>
      </w:r>
    </w:p>
    <w:p w:rsidR="00000000" w:rsidRPr="001A0E97" w:rsidP="00DE15A2">
      <w:pPr>
        <w:pStyle w:val="BodyText"/>
      </w:pPr>
      <w:r w:rsidRPr="001A0E97">
        <w:t xml:space="preserve">The unit applies </w:t>
      </w:r>
      <w:r w:rsidRPr="001A0E97">
        <w:t>to individuals who have responsibility for providing health care to ensure the wellbeing and efficient physiological function of horses within the equine industry.</w:t>
      </w:r>
    </w:p>
    <w:p w:rsidR="00000000" w:rsidRPr="001A0E97" w:rsidP="00DE15A2">
      <w:pPr>
        <w:pStyle w:val="BodyText"/>
      </w:pPr>
      <w:r w:rsidRPr="001A0E97">
        <w:t>No licensing, legislative, regulatory or certification requirements apply to this unit at th</w:t>
      </w:r>
      <w:r w:rsidRPr="001A0E97">
        <w:t>e time of publication.</w:t>
      </w:r>
    </w:p>
    <w:p w:rsidR="00000000" w:rsidRPr="001A0E97" w:rsidP="00DE15A2">
      <w:pPr>
        <w:pStyle w:val="BodyText"/>
      </w:pPr>
      <w:r w:rsidRPr="001A0E97">
        <w:t>Work health and safety and animal welfare legislation relevant to interacting with horses applies to workers in this industry. Requirements vary between industry sectors and state/territory jurisdictions. Users are advised to check w</w:t>
      </w:r>
      <w:r w:rsidRPr="001A0E97">
        <w:t>ith the relevant authority for specific requirements.</w:t>
      </w:r>
    </w:p>
    <w:p w:rsidR="00000000" w:rsidRPr="001A0E97" w:rsidP="00DE15A2">
      <w:pPr>
        <w:pStyle w:val="BodyText"/>
      </w:pPr>
      <w:r w:rsidRPr="001A0E97">
        <w:t xml:space="preserve">NOTE: The terms </w:t>
      </w:r>
      <w:r>
        <w:t>‘</w:t>
      </w:r>
      <w:r w:rsidRPr="001A0E97">
        <w:t>occupational health and safety</w:t>
      </w:r>
      <w:r>
        <w:t>’</w:t>
      </w:r>
      <w:r w:rsidRPr="001A0E97">
        <w:t xml:space="preserve"> (OHS) and </w:t>
      </w:r>
      <w:r>
        <w:t>‘</w:t>
      </w:r>
      <w:r w:rsidRPr="001A0E97">
        <w:t>work health and safety</w:t>
      </w:r>
      <w:r>
        <w:t>’</w:t>
      </w:r>
      <w:r w:rsidRPr="001A0E97">
        <w:t xml:space="preserve"> (WHS) generally have the same meaning in the workplace. In jurisdictions where the national model WHS legislation has </w:t>
      </w:r>
      <w:r w:rsidRPr="001A0E97">
        <w:t>not been implemented, RTOs must contextualise the unit of competency by referring to current OHS legislative requirements.</w:t>
      </w:r>
    </w:p>
    <w:p w:rsidR="00000000" w:rsidRPr="001A0E97" w:rsidP="001A0E97">
      <w:pPr>
        <w:pStyle w:val="Heading1"/>
      </w:pPr>
      <w:bookmarkStart w:id="3" w:name="O_862700"/>
      <w:bookmarkEnd w:id="3"/>
      <w:r w:rsidRPr="001A0E97">
        <w:t>Pre-requisite Unit</w:t>
      </w:r>
    </w:p>
    <w:p w:rsidR="00000000" w:rsidRPr="001A0E97" w:rsidP="00DE15A2">
      <w:pPr>
        <w:pStyle w:val="BodyText"/>
      </w:pPr>
      <w:r w:rsidRPr="001A0E97">
        <w:t>Nil</w:t>
      </w:r>
    </w:p>
    <w:p w:rsidR="00000000" w:rsidRPr="001A0E97" w:rsidP="001A0E97">
      <w:pPr>
        <w:pStyle w:val="Heading1"/>
      </w:pPr>
      <w:bookmarkStart w:id="4" w:name="O_862702"/>
      <w:bookmarkEnd w:id="4"/>
      <w:r w:rsidRPr="001A0E97">
        <w:t>Unit Sector</w:t>
      </w:r>
    </w:p>
    <w:p w:rsidR="00000000" w:rsidRPr="001A0E97" w:rsidP="00DE15A2">
      <w:pPr>
        <w:pStyle w:val="BodyText"/>
      </w:pPr>
      <w:r w:rsidRPr="001A0E97">
        <w:t>Equine (EQU)</w:t>
      </w:r>
    </w:p>
    <w:p w:rsidR="00000000" w:rsidRPr="001A0E97" w:rsidP="001A0E97">
      <w:pPr>
        <w:pStyle w:val="Heading1"/>
      </w:pPr>
      <w:bookmarkStart w:id="5" w:name="O_862703"/>
      <w:bookmarkEnd w:id="5"/>
      <w:r w:rsidRPr="001A0E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DE15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rPr>
                <w:rStyle w:val="SpecialBold"/>
              </w:rPr>
              <w:t>Performance Criteria</w:t>
            </w:r>
          </w:p>
        </w:tc>
      </w:tr>
      <w:tr w:rsidTr="00DE15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1. Identify, locate and describe systemic anatomical features of the horse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t>1.1 Describ</w:t>
            </w:r>
            <w:r w:rsidRPr="001A0E97">
              <w:t>e the characteristics and location of horse structures using anatomical features</w:t>
            </w:r>
          </w:p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1.2 Locate and explain anatomical orientation to the position of structures in horses</w:t>
            </w:r>
          </w:p>
        </w:tc>
      </w:tr>
      <w:tr w:rsidTr="00DE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2. Identify and describe systemic and pathophysiologic systems of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t>2.1 Identify and describe the structure and function of cellular biology and its relationship to growth, injury, healing and repair</w:t>
            </w:r>
          </w:p>
          <w:p w:rsidR="00000000" w:rsidRPr="001A0E97" w:rsidP="001A0E97">
            <w:pPr>
              <w:pStyle w:val="BodyText"/>
            </w:pPr>
            <w:r w:rsidRPr="001A0E97">
              <w:t>2.2 Identify and describe the structures and functions of the integumentary system</w:t>
            </w:r>
          </w:p>
          <w:p w:rsidR="00000000" w:rsidRPr="001A0E97" w:rsidP="001A0E97">
            <w:pPr>
              <w:pStyle w:val="BodyText"/>
            </w:pPr>
            <w:r w:rsidRPr="001A0E97">
              <w:t xml:space="preserve">2.3 Identify and describe the structures </w:t>
            </w:r>
            <w:r w:rsidRPr="001A0E97">
              <w:t>and functions of the musculoskeletal system</w:t>
            </w:r>
          </w:p>
          <w:p w:rsidR="00000000" w:rsidRPr="001A0E97" w:rsidP="001A0E97">
            <w:pPr>
              <w:pStyle w:val="BodyText"/>
            </w:pPr>
            <w:r w:rsidRPr="001A0E97">
              <w:t>2.4 Identify and describe the structures and functions of the respiratory system</w:t>
            </w:r>
          </w:p>
          <w:p w:rsidR="00000000" w:rsidRPr="001A0E97" w:rsidP="001A0E97">
            <w:pPr>
              <w:pStyle w:val="BodyText"/>
            </w:pPr>
            <w:r w:rsidRPr="001A0E97">
              <w:t>2.5 Identify and describe the structures and functions of the cardiovascular system</w:t>
            </w:r>
          </w:p>
          <w:p w:rsidR="00000000" w:rsidRPr="001A0E97" w:rsidP="001A0E97">
            <w:pPr>
              <w:pStyle w:val="BodyText"/>
            </w:pPr>
            <w:r w:rsidRPr="001A0E97">
              <w:t>2.6 Identify and describe the structures and fu</w:t>
            </w:r>
            <w:r w:rsidRPr="001A0E97">
              <w:t>nctions of the digestive system</w:t>
            </w:r>
          </w:p>
          <w:p w:rsidR="00000000" w:rsidRPr="001A0E97" w:rsidP="001A0E97">
            <w:pPr>
              <w:pStyle w:val="BodyText"/>
            </w:pPr>
            <w:r w:rsidRPr="001A0E97">
              <w:t>2.7 Identify and describe the structures and functions of the reproductive system</w:t>
            </w:r>
          </w:p>
          <w:p w:rsidR="00000000" w:rsidRPr="001A0E97" w:rsidP="001A0E97">
            <w:pPr>
              <w:pStyle w:val="BodyText"/>
            </w:pPr>
            <w:r w:rsidRPr="001A0E97">
              <w:t>2.8 Identify and describe the structures and functions of the nervous and endocrine systems</w:t>
            </w:r>
          </w:p>
          <w:p w:rsidR="00000000" w:rsidRPr="001A0E97" w:rsidP="001A0E97">
            <w:pPr>
              <w:pStyle w:val="BodyText"/>
            </w:pPr>
            <w:r w:rsidRPr="001A0E97">
              <w:t>2.9 Identify and describe the structures and funct</w:t>
            </w:r>
            <w:r w:rsidRPr="001A0E97">
              <w:t>ions of the immune systems</w:t>
            </w:r>
          </w:p>
          <w:p w:rsidR="00000000" w:rsidRPr="001A0E97" w:rsidP="001A0E97">
            <w:pPr>
              <w:pStyle w:val="BodyText"/>
            </w:pPr>
            <w:r w:rsidRPr="001A0E97">
              <w:t>2.10 Identify and describe the structures and functions of the hepatic system</w:t>
            </w:r>
          </w:p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2.11 Identify and describe the structures and functions of the urinary system</w:t>
            </w:r>
          </w:p>
        </w:tc>
      </w:tr>
      <w:tr w:rsidTr="00DE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3. Evaluate the impact of disease, illness or injury on treatment priori</w:t>
            </w:r>
            <w:r w:rsidRPr="001A0E97">
              <w:t>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t>3.1 Relate temperature regulation to the overall health and wellbeing of horses</w:t>
            </w:r>
          </w:p>
          <w:p w:rsidR="00000000" w:rsidRPr="001A0E97" w:rsidP="001A0E97">
            <w:pPr>
              <w:pStyle w:val="BodyText"/>
            </w:pPr>
            <w:r w:rsidRPr="001A0E97">
              <w:t>3.2 Relate horse behaviour to symptoms of disease, illness or injury</w:t>
            </w:r>
          </w:p>
          <w:p w:rsidR="00000000" w:rsidRPr="001A0E97" w:rsidP="001A0E97">
            <w:pPr>
              <w:pStyle w:val="BodyText"/>
            </w:pPr>
            <w:r w:rsidRPr="001A0E97">
              <w:t>3.3 Relate horse treatment of disease, illness or injury to health care priorities</w:t>
            </w:r>
          </w:p>
          <w:p w:rsidR="00000000" w:rsidRPr="001A0E97" w:rsidP="001A0E97">
            <w:pPr>
              <w:pStyle w:val="BodyText"/>
            </w:pPr>
            <w:r w:rsidRPr="001A0E97">
              <w:t xml:space="preserve">3.4 Make treatment </w:t>
            </w:r>
            <w:r w:rsidRPr="001A0E97">
              <w:t>priority decisions based on animal welfare needs and the potential ongoing impact of ailments or disease</w:t>
            </w:r>
          </w:p>
        </w:tc>
      </w:tr>
    </w:tbl>
    <w:p w:rsidR="00000000" w:rsidRPr="001A0E97" w:rsidP="001A0E97">
      <w:pPr>
        <w:pStyle w:val="BodyText"/>
      </w:pPr>
    </w:p>
    <w:p w:rsidR="00000000" w:rsidRPr="001A0E97" w:rsidP="001A0E97">
      <w:pPr>
        <w:pStyle w:val="AllowPageBreak"/>
      </w:pPr>
    </w:p>
    <w:p w:rsidR="00000000" w:rsidRPr="001A0E97" w:rsidP="001A0E97">
      <w:pPr>
        <w:pStyle w:val="Heading1"/>
      </w:pPr>
      <w:bookmarkStart w:id="6" w:name="O_862704"/>
      <w:bookmarkEnd w:id="6"/>
      <w:r w:rsidRPr="001A0E97">
        <w:t>Foundation Skills</w:t>
      </w:r>
    </w:p>
    <w:p w:rsidR="00000000" w:rsidRPr="00DE15A2" w:rsidP="00DE15A2">
      <w:pPr>
        <w:pStyle w:val="BodyText"/>
        <w:rPr>
          <w:i/>
        </w:rPr>
      </w:pPr>
      <w:r w:rsidRPr="00DE15A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DE15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rPr>
                <w:rStyle w:val="SpecialBold"/>
              </w:rPr>
              <w:t>Description</w:t>
            </w:r>
          </w:p>
        </w:tc>
      </w:tr>
      <w:tr w:rsidTr="00DE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ListBullet"/>
              <w:rPr>
                <w:lang w:val="en-NZ"/>
              </w:rPr>
            </w:pPr>
            <w:r w:rsidRPr="001A0E97">
              <w:t>Critically analyse complex documenta</w:t>
            </w:r>
            <w:r w:rsidRPr="001A0E97">
              <w:t>tion from a variety of sources and consolidate information relating to horse body systems to determine health care requirements</w:t>
            </w:r>
          </w:p>
        </w:tc>
      </w:tr>
      <w:tr w:rsidTr="00DE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ListBullet"/>
            </w:pPr>
            <w:r w:rsidRPr="001A0E97">
              <w:t>Analyse complex anatomical and physiological relationships in horse body systems to determine possible cause</w:t>
            </w:r>
            <w:r w:rsidRPr="001A0E97">
              <w:t>s of disease, injury or health problems and prioritise treatments</w:t>
            </w:r>
          </w:p>
        </w:tc>
      </w:tr>
    </w:tbl>
    <w:p w:rsidR="00000000" w:rsidRPr="001A0E97" w:rsidP="001A0E97">
      <w:pPr>
        <w:pStyle w:val="BodyText"/>
      </w:pPr>
    </w:p>
    <w:p w:rsidR="00000000" w:rsidRPr="001A0E97" w:rsidP="001A0E97">
      <w:pPr>
        <w:pStyle w:val="AllowPageBreak"/>
      </w:pPr>
    </w:p>
    <w:p w:rsidR="00000000" w:rsidRPr="001A0E97" w:rsidP="001A0E97">
      <w:pPr>
        <w:pStyle w:val="Heading1"/>
      </w:pPr>
      <w:bookmarkStart w:id="7" w:name="O_862706"/>
      <w:bookmarkEnd w:id="7"/>
      <w:r w:rsidRPr="001A0E9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DE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rPr>
                <w:rStyle w:val="SpecialBold"/>
              </w:rPr>
              <w:t>Equivalence status</w:t>
            </w:r>
          </w:p>
        </w:tc>
      </w:tr>
      <w:tr w:rsidTr="00DE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ACMEQU401 Relate equine anatomical and physiological features to equine health care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ACMEQU401A Relate equine anatomical and physiological features to equine health care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97">
            <w:pPr>
              <w:pStyle w:val="BodyText"/>
              <w:rPr>
                <w:lang w:val="en-NZ"/>
              </w:rPr>
            </w:pPr>
            <w:r w:rsidRPr="001A0E97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97" w:rsidP="001A0E97">
            <w:pPr>
              <w:pStyle w:val="BodyText"/>
            </w:pPr>
            <w:r w:rsidRPr="001A0E97">
              <w:t>Equivalent un</w:t>
            </w:r>
            <w:r w:rsidRPr="001A0E97">
              <w:t>it</w:t>
            </w:r>
          </w:p>
        </w:tc>
      </w:tr>
    </w:tbl>
    <w:p w:rsidR="00000000" w:rsidRPr="001A0E97" w:rsidP="001A0E97">
      <w:pPr>
        <w:pStyle w:val="BodyText"/>
      </w:pPr>
    </w:p>
    <w:p w:rsidR="00000000" w:rsidRPr="001A0E97" w:rsidP="001A0E97">
      <w:pPr>
        <w:pStyle w:val="AllowPageBreak"/>
      </w:pPr>
    </w:p>
    <w:p w:rsidR="00000000" w:rsidRPr="001A0E97" w:rsidP="001A0E97">
      <w:pPr>
        <w:pStyle w:val="Heading1"/>
      </w:pPr>
      <w:bookmarkStart w:id="8" w:name="O_862713"/>
      <w:bookmarkEnd w:id="8"/>
      <w:r w:rsidRPr="001A0E97">
        <w:t>Links</w:t>
      </w:r>
    </w:p>
    <w:p w:rsidR="00000000" w:rsidRPr="001A0E97" w:rsidP="00DE15A2">
      <w:pPr>
        <w:pStyle w:val="BodyText"/>
      </w:pPr>
      <w:r w:rsidRPr="001A0E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93E8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A0E97" w:rsidP="001A0E97"/>
    <w:sectPr w:rsidSect="001A0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97" w:rsidRPr="00DE15A2" w:rsidP="00DE1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A2" w:rsidP="001A0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5A2" w:rsidP="001A0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15A2" w:rsidP="001A0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E97" w:rsidRPr="00DE15A2" w:rsidP="00DE1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A2" w:rsidRPr="002D2AF8" w:rsidP="001A0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ACMEQU401 Relate equine anatomical and physiological features to equine health care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E15A2" w:rsidP="001A0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BA2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345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E97"/>
  </w:style>
  <w:style w:type="character" w:customStyle="1" w:styleId="Heading1Char">
    <w:name w:val="Heading 1 Char"/>
    <w:basedOn w:val="DefaultParagraphFont"/>
    <w:link w:val="Heading1"/>
    <w:rsid w:val="001A0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E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E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E97"/>
    <w:rPr>
      <w:b/>
      <w:spacing w:val="0"/>
    </w:rPr>
  </w:style>
  <w:style w:type="character" w:styleId="Emphasis">
    <w:name w:val="Emphasis"/>
    <w:basedOn w:val="DefaultParagraphFont"/>
    <w:qFormat/>
    <w:rsid w:val="001A0E97"/>
    <w:rPr>
      <w:i/>
    </w:rPr>
  </w:style>
  <w:style w:type="paragraph" w:customStyle="1" w:styleId="SuperHeading">
    <w:name w:val="SuperHeading"/>
    <w:basedOn w:val="Normal"/>
    <w:rsid w:val="001A0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E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E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E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E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E97"/>
  </w:style>
  <w:style w:type="paragraph" w:styleId="TableofFigures">
    <w:name w:val="table of figures"/>
    <w:basedOn w:val="Normal"/>
    <w:next w:val="Normal"/>
    <w:semiHidden/>
    <w:rsid w:val="001A0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E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0E97"/>
    <w:rPr>
      <w:rFonts w:ascii="Wingdings" w:hAnsi="Wingdings"/>
    </w:rPr>
  </w:style>
  <w:style w:type="paragraph" w:customStyle="1" w:styleId="TableHeading">
    <w:name w:val="Table Heading"/>
    <w:basedOn w:val="HeadingBase"/>
    <w:rsid w:val="001A0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E97"/>
    <w:rPr>
      <w:color w:val="0033CC"/>
      <w:u w:val="none"/>
    </w:rPr>
  </w:style>
  <w:style w:type="paragraph" w:customStyle="1" w:styleId="BodyTextRight">
    <w:name w:val="Body Text Right"/>
    <w:basedOn w:val="BodyText"/>
    <w:rsid w:val="001A0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E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E97"/>
    <w:rPr>
      <w:sz w:val="32"/>
    </w:rPr>
  </w:style>
  <w:style w:type="paragraph" w:customStyle="1" w:styleId="HeadingProcedure">
    <w:name w:val="Heading Procedure"/>
    <w:basedOn w:val="HeadingBase"/>
    <w:next w:val="Normal"/>
    <w:rsid w:val="001A0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E97"/>
    <w:pPr>
      <w:spacing w:before="60" w:after="60"/>
    </w:pPr>
  </w:style>
  <w:style w:type="paragraph" w:styleId="ListContinue">
    <w:name w:val="List Continue"/>
    <w:basedOn w:val="List"/>
    <w:rsid w:val="001A0E97"/>
    <w:pPr>
      <w:ind w:firstLine="0"/>
    </w:pPr>
  </w:style>
  <w:style w:type="paragraph" w:customStyle="1" w:styleId="ListNote">
    <w:name w:val="List Note"/>
    <w:basedOn w:val="List"/>
    <w:rsid w:val="001A0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E97"/>
    <w:rPr>
      <w:rFonts w:ascii="Courier New" w:hAnsi="Courier New"/>
    </w:rPr>
  </w:style>
  <w:style w:type="paragraph" w:customStyle="1" w:styleId="NoteBullet">
    <w:name w:val="Note Bullet"/>
    <w:basedOn w:val="Note"/>
    <w:rsid w:val="001A0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E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0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E97"/>
    <w:rPr>
      <w:b/>
      <w:smallCaps/>
    </w:rPr>
  </w:style>
  <w:style w:type="paragraph" w:customStyle="1" w:styleId="TableListNumber">
    <w:name w:val="Table List Number"/>
    <w:basedOn w:val="ListNumber"/>
    <w:rsid w:val="001A0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E97"/>
    <w:pPr>
      <w:numPr>
        <w:numId w:val="8"/>
      </w:numPr>
    </w:pPr>
  </w:style>
  <w:style w:type="paragraph" w:customStyle="1" w:styleId="ListAlpha2">
    <w:name w:val="List Alpha 2"/>
    <w:basedOn w:val="List2"/>
    <w:rsid w:val="001A0E97"/>
    <w:pPr>
      <w:numPr>
        <w:numId w:val="7"/>
      </w:numPr>
    </w:pPr>
  </w:style>
  <w:style w:type="paragraph" w:styleId="List2">
    <w:name w:val="List 2"/>
    <w:basedOn w:val="BodyText"/>
    <w:rsid w:val="001A0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E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E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0E97"/>
    <w:pPr>
      <w:numPr>
        <w:numId w:val="3"/>
      </w:numPr>
    </w:pPr>
  </w:style>
  <w:style w:type="paragraph" w:styleId="ListContinue2">
    <w:name w:val="List Continue 2"/>
    <w:basedOn w:val="List2"/>
    <w:rsid w:val="001A0E97"/>
    <w:pPr>
      <w:ind w:firstLine="0"/>
    </w:pPr>
  </w:style>
  <w:style w:type="paragraph" w:styleId="ListContinue3">
    <w:name w:val="List Continue 3"/>
    <w:basedOn w:val="List3"/>
    <w:rsid w:val="001A0E97"/>
    <w:pPr>
      <w:ind w:left="1021" w:firstLine="0"/>
    </w:pPr>
  </w:style>
  <w:style w:type="paragraph" w:styleId="ListContinue4">
    <w:name w:val="List Continue 4"/>
    <w:basedOn w:val="List4"/>
    <w:rsid w:val="001A0E97"/>
    <w:pPr>
      <w:ind w:firstLine="0"/>
    </w:pPr>
  </w:style>
  <w:style w:type="paragraph" w:styleId="ListContinue5">
    <w:name w:val="List Continue 5"/>
    <w:basedOn w:val="List5"/>
    <w:rsid w:val="001A0E97"/>
    <w:pPr>
      <w:ind w:firstLine="0"/>
    </w:pPr>
  </w:style>
  <w:style w:type="paragraph" w:styleId="ListNumber3">
    <w:name w:val="List Number 3"/>
    <w:basedOn w:val="List3"/>
    <w:rsid w:val="001A0E97"/>
    <w:pPr>
      <w:numPr>
        <w:numId w:val="4"/>
      </w:numPr>
    </w:pPr>
  </w:style>
  <w:style w:type="paragraph" w:styleId="ListNumber4">
    <w:name w:val="List Number 4"/>
    <w:basedOn w:val="List4"/>
    <w:rsid w:val="001A0E97"/>
    <w:pPr>
      <w:numPr>
        <w:numId w:val="5"/>
      </w:numPr>
    </w:pPr>
  </w:style>
  <w:style w:type="paragraph" w:styleId="ListNumber5">
    <w:name w:val="List Number 5"/>
    <w:basedOn w:val="List5"/>
    <w:rsid w:val="001A0E97"/>
    <w:pPr>
      <w:numPr>
        <w:numId w:val="6"/>
      </w:numPr>
    </w:pPr>
  </w:style>
  <w:style w:type="paragraph" w:styleId="BlockText">
    <w:name w:val="Block Text"/>
    <w:basedOn w:val="Normal"/>
    <w:rsid w:val="001A0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E97"/>
    <w:rPr>
      <w:sz w:val="16"/>
      <w:vertAlign w:val="superscript"/>
    </w:rPr>
  </w:style>
  <w:style w:type="character" w:customStyle="1" w:styleId="Symbols">
    <w:name w:val="Symbols"/>
    <w:basedOn w:val="DefaultParagraphFont"/>
    <w:rsid w:val="001A0E97"/>
    <w:rPr>
      <w:rFonts w:ascii="Symbol" w:hAnsi="Symbol"/>
    </w:rPr>
  </w:style>
  <w:style w:type="character" w:customStyle="1" w:styleId="MenuOptions">
    <w:name w:val="Menu Options"/>
    <w:basedOn w:val="DefaultParagraphFont"/>
    <w:rsid w:val="001A0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E97"/>
    <w:rPr>
      <w:b/>
    </w:rPr>
  </w:style>
  <w:style w:type="character" w:customStyle="1" w:styleId="Underlined">
    <w:name w:val="Underlined"/>
    <w:basedOn w:val="DefaultParagraphFont"/>
    <w:rsid w:val="001A0E97"/>
    <w:rPr>
      <w:u w:val="single"/>
    </w:rPr>
  </w:style>
  <w:style w:type="paragraph" w:customStyle="1" w:styleId="TableBodyTextRight">
    <w:name w:val="Table Body Text Right"/>
    <w:basedOn w:val="TableBodyText"/>
    <w:rsid w:val="001A0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E97"/>
    <w:rPr>
      <w:sz w:val="18"/>
    </w:rPr>
  </w:style>
  <w:style w:type="paragraph" w:customStyle="1" w:styleId="BodySmallRight">
    <w:name w:val="Body Small Right"/>
    <w:basedOn w:val="BodyTextRight"/>
    <w:rsid w:val="001A0E97"/>
    <w:rPr>
      <w:sz w:val="18"/>
      <w:szCs w:val="18"/>
    </w:rPr>
  </w:style>
  <w:style w:type="paragraph" w:customStyle="1" w:styleId="MarginEdition">
    <w:name w:val="Margin Edition"/>
    <w:basedOn w:val="MarginNote"/>
    <w:rsid w:val="001A0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E97"/>
    <w:rPr>
      <w:sz w:val="2"/>
      <w:szCs w:val="2"/>
    </w:rPr>
  </w:style>
  <w:style w:type="character" w:customStyle="1" w:styleId="Small">
    <w:name w:val="Small"/>
    <w:basedOn w:val="DefaultParagraphFont"/>
    <w:rsid w:val="001A0E97"/>
    <w:rPr>
      <w:sz w:val="16"/>
    </w:rPr>
  </w:style>
  <w:style w:type="paragraph" w:customStyle="1" w:styleId="WideTable">
    <w:name w:val="Wide Table"/>
    <w:basedOn w:val="Normal"/>
    <w:rsid w:val="001A0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E97"/>
  </w:style>
  <w:style w:type="paragraph" w:styleId="Quote">
    <w:name w:val="Quote"/>
    <w:basedOn w:val="Heading1"/>
    <w:link w:val="QuoteChar"/>
    <w:qFormat/>
    <w:rsid w:val="001A0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E97"/>
    <w:pPr>
      <w:pageBreakBefore/>
    </w:pPr>
  </w:style>
  <w:style w:type="paragraph" w:customStyle="1" w:styleId="Border">
    <w:name w:val="Border"/>
    <w:basedOn w:val="Normal"/>
    <w:qFormat/>
    <w:rsid w:val="001A0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E97"/>
    <w:rPr>
      <w:u w:val="single"/>
    </w:rPr>
  </w:style>
  <w:style w:type="character" w:customStyle="1" w:styleId="BoldandItalics">
    <w:name w:val="Bold and Italics"/>
    <w:qFormat/>
    <w:rsid w:val="001A0E97"/>
    <w:rPr>
      <w:b/>
      <w:i/>
      <w:u w:val="none"/>
    </w:rPr>
  </w:style>
  <w:style w:type="paragraph" w:styleId="BalloonText">
    <w:name w:val="Balloon Text"/>
    <w:basedOn w:val="Normal"/>
    <w:link w:val="BalloonTextChar"/>
    <w:rsid w:val="001A0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E97"/>
    <w:pPr>
      <w:spacing w:before="0" w:after="0"/>
    </w:pPr>
  </w:style>
  <w:style w:type="paragraph" w:customStyle="1" w:styleId="BodyTextBold">
    <w:name w:val="Body Text Bold"/>
    <w:basedOn w:val="BodyText"/>
    <w:qFormat/>
    <w:rsid w:val="001A0E97"/>
    <w:rPr>
      <w:b/>
    </w:rPr>
  </w:style>
  <w:style w:type="character" w:styleId="Hyperlink">
    <w:name w:val="Hyperlink"/>
    <w:basedOn w:val="DefaultParagraphFont"/>
    <w:uiPriority w:val="99"/>
    <w:unhideWhenUsed/>
    <w:rsid w:val="00DE1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666</Words>
  <Characters>4094</Characters>
  <Application>Microsoft Office Word</Application>
  <DocSecurity>0</DocSecurity>
  <Lines>146</Lines>
  <Paragraphs>74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ACMEQU401 Relate equine anatomical and physiological features to equine health care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2022-07-16T08:15:00Z</dcterms:created>
  <dcterms:modified xsi:type="dcterms:W3CDTF">2022-07-16T08:16:00Z</dcterms:modified>
</cp:coreProperties>
</file>