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279" w:rsidP="00D71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ACMEQU214 Prepare to work safely around horses</w:t>
      </w:r>
      <w:r>
        <w:fldChar w:fldCharType="end"/>
      </w:r>
    </w:p>
    <w:p w:rsidR="00D71279" w:rsidP="00D71279">
      <w:pPr>
        <w:pStyle w:val="Version"/>
        <w:sectPr w:rsidSect="00563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EE2" w:rsidP="00563EE2">
      <w:pPr>
        <w:pStyle w:val="SuperHeading"/>
      </w:pPr>
      <w:r w:rsidRPr="00563EE2">
        <w:t>ACMEQU214 Prepare to work safely around horses</w:t>
      </w:r>
    </w:p>
    <w:p w:rsidR="00000000" w:rsidRPr="00563EE2" w:rsidP="00563EE2">
      <w:pPr>
        <w:pStyle w:val="Heading1"/>
      </w:pPr>
      <w:bookmarkStart w:id="1" w:name="O_1211783"/>
      <w:bookmarkEnd w:id="1"/>
      <w:r w:rsidRPr="00563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Comments</w:t>
            </w:r>
          </w:p>
        </w:tc>
      </w:tr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This version released with ACM Animal Care and Management Training Package Version 5.0.</w:t>
            </w:r>
          </w:p>
        </w:tc>
      </w:tr>
    </w:tbl>
    <w:p w:rsidR="00000000" w:rsidRPr="00563EE2" w:rsidP="00563EE2">
      <w:pPr>
        <w:pStyle w:val="BodyText"/>
      </w:pPr>
    </w:p>
    <w:p w:rsidR="00000000" w:rsidRPr="00563EE2" w:rsidP="00563EE2">
      <w:pPr>
        <w:pStyle w:val="AllowPageBreak"/>
      </w:pPr>
    </w:p>
    <w:p w:rsidR="00000000" w:rsidRPr="00563EE2" w:rsidP="00563EE2">
      <w:pPr>
        <w:pStyle w:val="Heading1"/>
      </w:pPr>
      <w:bookmarkStart w:id="2" w:name="O_1211784"/>
      <w:bookmarkEnd w:id="2"/>
      <w:r w:rsidRPr="00563EE2">
        <w:t>Application</w:t>
      </w:r>
    </w:p>
    <w:p w:rsidR="00000000" w:rsidRPr="00563EE2" w:rsidP="00D71279">
      <w:pPr>
        <w:pStyle w:val="BodyText"/>
      </w:pPr>
      <w:r w:rsidRPr="00563EE2">
        <w:t xml:space="preserve">This unit of competency describes the skills and knowledge to understand and </w:t>
      </w:r>
      <w:r w:rsidRPr="00563EE2">
        <w:t xml:space="preserve">interpret horse behaviour and body language in order to minimise risks to self, others and horses when working around horses. </w:t>
      </w:r>
    </w:p>
    <w:p w:rsidR="00000000" w:rsidRPr="00563EE2" w:rsidP="00D71279">
      <w:pPr>
        <w:pStyle w:val="BodyText"/>
      </w:pPr>
      <w:r w:rsidRPr="00563EE2">
        <w:t>This unit applies to workers who work around horses, but do not directly handle horses. These roles may include administration, f</w:t>
      </w:r>
      <w:r w:rsidRPr="00563EE2">
        <w:t xml:space="preserve">inance, marketing, customer service, catering, facility management and equipment repair. </w:t>
      </w:r>
    </w:p>
    <w:p w:rsidR="00000000" w:rsidRPr="00563EE2" w:rsidP="00D71279">
      <w:pPr>
        <w:pStyle w:val="BodyText"/>
      </w:pPr>
      <w:r w:rsidRPr="00563EE2">
        <w:t>Commonwealth and state/territory health and safety and animal welfare legislation, regulations and codes of practice relevant to interacting with horses apply to work</w:t>
      </w:r>
      <w:r w:rsidRPr="00563EE2">
        <w:t>ers in this industry. Requirements vary between industry sectors and jurisdictions.</w:t>
      </w:r>
    </w:p>
    <w:p w:rsidR="00000000" w:rsidRPr="00563EE2" w:rsidP="00D71279">
      <w:pPr>
        <w:pStyle w:val="BodyText"/>
      </w:pPr>
      <w:r w:rsidRPr="00563EE2">
        <w:t>No licensing, legislative or certification requirements apply to this unit at the time of publication.</w:t>
      </w:r>
    </w:p>
    <w:p w:rsidR="00000000" w:rsidRPr="00563EE2" w:rsidP="00563EE2">
      <w:pPr>
        <w:pStyle w:val="Heading1"/>
      </w:pPr>
      <w:bookmarkStart w:id="3" w:name="O_1211785"/>
      <w:bookmarkEnd w:id="3"/>
      <w:r w:rsidRPr="00563EE2">
        <w:t>Pre-requisite Unit</w:t>
      </w:r>
    </w:p>
    <w:p w:rsidR="00000000" w:rsidRPr="00563EE2" w:rsidP="00D71279">
      <w:pPr>
        <w:pStyle w:val="BodyText"/>
      </w:pPr>
      <w:r w:rsidRPr="00563EE2">
        <w:t>Nil</w:t>
      </w:r>
    </w:p>
    <w:p w:rsidR="00000000" w:rsidRPr="00563EE2" w:rsidP="00563EE2">
      <w:pPr>
        <w:pStyle w:val="Heading1"/>
      </w:pPr>
      <w:bookmarkStart w:id="4" w:name="O_1211787"/>
      <w:bookmarkEnd w:id="4"/>
      <w:r w:rsidRPr="00563EE2">
        <w:t>Unit Sec</w:t>
      </w:r>
      <w:r w:rsidRPr="00563EE2">
        <w:t>tor</w:t>
      </w:r>
    </w:p>
    <w:p w:rsidR="00000000" w:rsidRPr="00563EE2" w:rsidP="00D71279">
      <w:pPr>
        <w:pStyle w:val="BodyText"/>
      </w:pPr>
      <w:r w:rsidRPr="00563EE2">
        <w:t>Equine (EQU)</w:t>
      </w:r>
    </w:p>
    <w:p w:rsidR="00000000" w:rsidRPr="00563EE2" w:rsidP="00563EE2">
      <w:pPr>
        <w:pStyle w:val="Heading1"/>
      </w:pPr>
      <w:bookmarkStart w:id="5" w:name="O_1211788"/>
      <w:bookmarkEnd w:id="5"/>
      <w:r w:rsidRPr="00563E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Performance Criteria</w:t>
            </w:r>
          </w:p>
        </w:tc>
      </w:tr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1. Identify basic horse behaviour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 xml:space="preserve">1.1 Identify basic horse characteristics and identification features </w:t>
            </w:r>
          </w:p>
          <w:p w:rsidR="00000000" w:rsidRPr="00563EE2" w:rsidP="00563EE2">
            <w:pPr>
              <w:pStyle w:val="BodyText"/>
            </w:pPr>
            <w:r w:rsidRPr="00563EE2">
              <w:t xml:space="preserve">1.2 Identify the natural instincts, sensory perceptions and social </w:t>
            </w:r>
            <w:r w:rsidRPr="00563EE2">
              <w:t>behaviour of horses</w:t>
            </w:r>
          </w:p>
          <w:p w:rsidR="00000000" w:rsidRPr="00563EE2" w:rsidP="00563EE2">
            <w:pPr>
              <w:pStyle w:val="BodyText"/>
            </w:pPr>
            <w:r w:rsidRPr="00563EE2">
              <w:t xml:space="preserve">1.3 Recognise how horse senses can influence their behaviour and </w:t>
            </w:r>
            <w:r w:rsidRPr="00563EE2">
              <w:t>reactions</w:t>
            </w:r>
          </w:p>
          <w:p w:rsidR="00000000" w:rsidRPr="00563EE2" w:rsidP="00563EE2">
            <w:pPr>
              <w:pStyle w:val="BodyText"/>
            </w:pPr>
            <w:r w:rsidRPr="00563EE2">
              <w:t xml:space="preserve">1.4 Identify environmental conditions and other stimuli that can unsettle horses </w:t>
            </w:r>
          </w:p>
          <w:p w:rsidR="00000000" w:rsidRPr="00563EE2" w:rsidP="00563EE2">
            <w:pPr>
              <w:pStyle w:val="BodyText"/>
            </w:pPr>
            <w:r w:rsidRPr="00563EE2">
              <w:t>1.5 Identify ways horses can respond to different people and in different situations</w:t>
            </w:r>
          </w:p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1.6 Identify body language, vocalisation, posture and facial features, indicating a horse is unsettled, agitated, in pain or relaxed in its surroundings</w:t>
            </w:r>
          </w:p>
        </w:tc>
      </w:tr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2. Identify areas of personal risk around horses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2.1 Identify situations, work activities and behaviou</w:t>
            </w:r>
            <w:r w:rsidRPr="00563EE2">
              <w:t>rs that lead to common incidents, accidents and injuries when working around horses</w:t>
            </w:r>
          </w:p>
          <w:p w:rsidR="00000000" w:rsidRPr="00563EE2" w:rsidP="00563EE2">
            <w:pPr>
              <w:pStyle w:val="BodyText"/>
            </w:pPr>
            <w:r w:rsidRPr="00563EE2">
              <w:t>2.2 Recognise human body language and behaviour that should be avoided around horses</w:t>
            </w:r>
          </w:p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2.3 Identify positive actions and behaviours that minimise risks when around horses</w:t>
            </w:r>
          </w:p>
        </w:tc>
      </w:tr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3.</w:t>
            </w:r>
            <w:r w:rsidRPr="00563EE2">
              <w:t xml:space="preserve"> Undertake site induction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3.1 Report to site supervisor, and complete required site registration and safety requirements to access site for own work</w:t>
            </w:r>
          </w:p>
          <w:p w:rsidR="00000000" w:rsidRPr="00563EE2" w:rsidP="00563EE2">
            <w:pPr>
              <w:pStyle w:val="BodyText"/>
            </w:pPr>
            <w:r w:rsidRPr="00563EE2">
              <w:t>3.2 Confirm and explain workplace roles, responsibilities and procedures for responding to worker and horse</w:t>
            </w:r>
            <w:r w:rsidRPr="00563EE2">
              <w:t xml:space="preserve"> health and safety incidents, accidents and emergencies</w:t>
            </w:r>
          </w:p>
          <w:p w:rsidR="00000000" w:rsidRPr="00563EE2" w:rsidP="00563EE2">
            <w:pPr>
              <w:pStyle w:val="BodyText"/>
            </w:pPr>
            <w:r w:rsidRPr="00563EE2">
              <w:t xml:space="preserve">3.3 Confirm work tasks, location, timeframes, support workers and resources required with site supervisor </w:t>
            </w:r>
          </w:p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3.4 Identify hazards associated with own tasks, assess risks and confirm risk controls for pr</w:t>
            </w:r>
            <w:r w:rsidRPr="00563EE2">
              <w:t>oposed tasks with site supervisor</w:t>
            </w:r>
          </w:p>
        </w:tc>
      </w:tr>
      <w:tr w:rsidTr="00D712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4. Minimise risks when working around horses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4.1 Select and fit personal protective equipment, identification and other equipment as required</w:t>
            </w:r>
          </w:p>
          <w:p w:rsidR="00000000" w:rsidRPr="00563EE2" w:rsidP="00563EE2">
            <w:pPr>
              <w:pStyle w:val="BodyText"/>
            </w:pPr>
            <w:r w:rsidRPr="00563EE2">
              <w:t>4.2 Interpret and respond appropriately to horse body language during work task</w:t>
            </w:r>
            <w:r w:rsidRPr="00563EE2">
              <w:t>s</w:t>
            </w:r>
          </w:p>
          <w:p w:rsidR="00000000" w:rsidRPr="00563EE2" w:rsidP="00563EE2">
            <w:pPr>
              <w:pStyle w:val="BodyText"/>
            </w:pPr>
            <w:r w:rsidRPr="00563EE2">
              <w:t>4.3 Maintain situational awareness of horses while undertaking tasks, and respond to and report new hazards that arise to site supervisor</w:t>
            </w:r>
          </w:p>
          <w:p w:rsidR="00000000" w:rsidRPr="00563EE2" w:rsidP="00563EE2">
            <w:pPr>
              <w:pStyle w:val="BodyText"/>
            </w:pPr>
            <w:r w:rsidRPr="00563EE2">
              <w:t>4.4 Complete tasks, report outcomes to site supervisor and undertake exit procedures according to workplace requirem</w:t>
            </w:r>
            <w:r w:rsidRPr="00563EE2">
              <w:t>ents</w:t>
            </w:r>
          </w:p>
        </w:tc>
      </w:tr>
    </w:tbl>
    <w:p w:rsidR="00000000" w:rsidRPr="00563EE2" w:rsidP="00563EE2">
      <w:pPr>
        <w:pStyle w:val="BodyText"/>
      </w:pPr>
    </w:p>
    <w:p w:rsidR="00000000" w:rsidRPr="00563EE2" w:rsidP="00563EE2">
      <w:pPr>
        <w:pStyle w:val="AllowPageBreak"/>
      </w:pPr>
    </w:p>
    <w:p w:rsidR="00000000" w:rsidRPr="00563EE2" w:rsidP="00563EE2">
      <w:pPr>
        <w:pStyle w:val="Heading1"/>
      </w:pPr>
      <w:bookmarkStart w:id="6" w:name="O_1211789"/>
      <w:bookmarkEnd w:id="6"/>
      <w:r w:rsidRPr="00563EE2">
        <w:t>Foundation Skills</w:t>
      </w:r>
    </w:p>
    <w:p w:rsidR="00000000" w:rsidRPr="00D71279" w:rsidP="00D71279">
      <w:pPr>
        <w:pStyle w:val="BodyText"/>
        <w:rPr>
          <w:i/>
        </w:rPr>
      </w:pPr>
      <w:r w:rsidRPr="00D7127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Description</w:t>
            </w:r>
          </w:p>
        </w:tc>
      </w:tr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ListBullet"/>
              <w:rPr>
                <w:lang w:val="en-NZ"/>
              </w:rPr>
            </w:pPr>
            <w:r w:rsidRPr="00563EE2">
              <w:t>Interpret equine workplace safety induction documentation</w:t>
            </w:r>
          </w:p>
        </w:tc>
      </w:tr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ListBullet"/>
            </w:pPr>
            <w:r w:rsidRPr="00563EE2">
              <w:t xml:space="preserve">Use equine industry terminology to describe horse behaviour and body language </w:t>
            </w:r>
          </w:p>
          <w:p w:rsidR="00000000" w:rsidRPr="00563EE2" w:rsidP="00563EE2">
            <w:pPr>
              <w:pStyle w:val="ListBullet"/>
            </w:pPr>
            <w:r w:rsidRPr="00563EE2">
              <w:t>Use open and closed questions to seek and confirm information</w:t>
            </w:r>
          </w:p>
        </w:tc>
      </w:tr>
    </w:tbl>
    <w:p w:rsidR="00000000" w:rsidRPr="00563EE2" w:rsidP="00563EE2">
      <w:pPr>
        <w:pStyle w:val="BodyText"/>
      </w:pPr>
    </w:p>
    <w:p w:rsidR="00000000" w:rsidRPr="00563EE2" w:rsidP="00563EE2">
      <w:pPr>
        <w:pStyle w:val="AllowPageBreak"/>
      </w:pPr>
    </w:p>
    <w:p w:rsidR="00000000" w:rsidRPr="00563EE2" w:rsidP="00563EE2">
      <w:pPr>
        <w:pStyle w:val="Heading1"/>
      </w:pPr>
      <w:bookmarkStart w:id="7" w:name="O_1211791"/>
      <w:bookmarkEnd w:id="7"/>
      <w:r w:rsidRPr="00563E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Bold"/>
              <w:rPr>
                <w:lang w:val="en-NZ"/>
              </w:rPr>
            </w:pPr>
            <w:r w:rsidRPr="00563EE2">
              <w:t>Equivalence status</w:t>
            </w:r>
          </w:p>
        </w:tc>
      </w:tr>
      <w:tr w:rsidTr="00563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ACMEQU214 Prepare to work safely around horses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 xml:space="preserve">ACMEQU205 Apply knowledge of horse behaviour 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Unit redesigned to include new outcomes to prepare individuals to work safely around horses</w:t>
            </w:r>
          </w:p>
          <w:p w:rsidR="00000000" w:rsidP="00563EE2">
            <w:pPr>
              <w:pStyle w:val="BodyText"/>
              <w:rPr>
                <w:lang w:val="en-NZ"/>
              </w:rPr>
            </w:pPr>
            <w:r w:rsidRPr="00563EE2">
              <w:t>Major changes to all sections of the unit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EE2" w:rsidP="00563EE2">
            <w:pPr>
              <w:pStyle w:val="BodyText"/>
            </w:pPr>
            <w:r w:rsidRPr="00563EE2">
              <w:t>Not equivalent</w:t>
            </w:r>
          </w:p>
        </w:tc>
      </w:tr>
    </w:tbl>
    <w:p w:rsidR="00000000" w:rsidRPr="00563EE2" w:rsidP="00563EE2">
      <w:pPr>
        <w:pStyle w:val="BodyText"/>
      </w:pPr>
    </w:p>
    <w:p w:rsidR="00000000" w:rsidRPr="00563EE2" w:rsidP="00563EE2">
      <w:pPr>
        <w:pStyle w:val="AllowPageBreak"/>
      </w:pPr>
    </w:p>
    <w:p w:rsidR="00000000" w:rsidRPr="00563EE2" w:rsidP="00563EE2">
      <w:pPr>
        <w:pStyle w:val="Heading1"/>
      </w:pPr>
      <w:bookmarkStart w:id="8" w:name="O_1211798"/>
      <w:bookmarkEnd w:id="8"/>
      <w:r w:rsidRPr="00563EE2">
        <w:t>Links</w:t>
      </w:r>
    </w:p>
    <w:p w:rsidR="00000000" w:rsidRPr="00563EE2" w:rsidP="00D71279">
      <w:pPr>
        <w:pStyle w:val="BodyText"/>
      </w:pPr>
      <w:r w:rsidRPr="00563E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73FA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63EE2" w:rsidP="00563EE2"/>
    <w:sectPr w:rsidSect="00563E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2" w:rsidRPr="00D71279" w:rsidP="00D71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279" w:rsidP="0056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279" w:rsidP="0056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1279" w:rsidP="00563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EE2" w:rsidRPr="00D71279" w:rsidP="00D71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279" w:rsidRPr="002D2AF8" w:rsidP="0056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ACMEQU214 Prepare to work safely around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1279" w:rsidP="00563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6D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F23F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EE2"/>
  </w:style>
  <w:style w:type="character" w:customStyle="1" w:styleId="Heading1Char">
    <w:name w:val="Heading 1 Char"/>
    <w:basedOn w:val="DefaultParagraphFont"/>
    <w:link w:val="Heading1"/>
    <w:rsid w:val="00563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E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3EE2"/>
    <w:rPr>
      <w:i/>
    </w:rPr>
  </w:style>
  <w:style w:type="paragraph" w:customStyle="1" w:styleId="SuperHeading">
    <w:name w:val="SuperHeading"/>
    <w:basedOn w:val="Normal"/>
    <w:rsid w:val="00563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3EE2"/>
    <w:rPr>
      <w:b/>
    </w:rPr>
  </w:style>
  <w:style w:type="character" w:customStyle="1" w:styleId="Heading2Char">
    <w:name w:val="Heading 2 Char"/>
    <w:basedOn w:val="DefaultParagraphFont"/>
    <w:link w:val="Heading2"/>
    <w:rsid w:val="00563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3EE2"/>
    <w:rPr>
      <w:b/>
      <w:spacing w:val="0"/>
    </w:rPr>
  </w:style>
  <w:style w:type="paragraph" w:customStyle="1" w:styleId="SuperTitle">
    <w:name w:val="SuperTitle"/>
    <w:basedOn w:val="Title"/>
    <w:rsid w:val="00563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EE2"/>
  </w:style>
  <w:style w:type="paragraph" w:styleId="TableofFigures">
    <w:name w:val="table of figures"/>
    <w:basedOn w:val="Normal"/>
    <w:next w:val="Normal"/>
    <w:semiHidden/>
    <w:rsid w:val="00563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EE2"/>
    <w:rPr>
      <w:rFonts w:ascii="Wingdings" w:hAnsi="Wingdings"/>
    </w:rPr>
  </w:style>
  <w:style w:type="paragraph" w:customStyle="1" w:styleId="TableHeading">
    <w:name w:val="Table Heading"/>
    <w:basedOn w:val="HeadingBase"/>
    <w:rsid w:val="00563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EE2"/>
    <w:rPr>
      <w:color w:val="0033CC"/>
      <w:u w:val="none"/>
    </w:rPr>
  </w:style>
  <w:style w:type="paragraph" w:customStyle="1" w:styleId="BodyTextRight">
    <w:name w:val="Body Text Right"/>
    <w:basedOn w:val="BodyText"/>
    <w:rsid w:val="00563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EE2"/>
    <w:rPr>
      <w:sz w:val="32"/>
    </w:rPr>
  </w:style>
  <w:style w:type="paragraph" w:customStyle="1" w:styleId="HeadingProcedure">
    <w:name w:val="Heading Procedure"/>
    <w:basedOn w:val="HeadingBase"/>
    <w:next w:val="Normal"/>
    <w:rsid w:val="00563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EE2"/>
    <w:pPr>
      <w:spacing w:before="60" w:after="60"/>
    </w:pPr>
  </w:style>
  <w:style w:type="paragraph" w:styleId="ListContinue">
    <w:name w:val="List Continue"/>
    <w:basedOn w:val="List"/>
    <w:rsid w:val="00563EE2"/>
    <w:pPr>
      <w:ind w:firstLine="0"/>
    </w:pPr>
  </w:style>
  <w:style w:type="paragraph" w:customStyle="1" w:styleId="ListNote">
    <w:name w:val="List Note"/>
    <w:basedOn w:val="List"/>
    <w:rsid w:val="00563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EE2"/>
    <w:rPr>
      <w:rFonts w:ascii="Courier New" w:hAnsi="Courier New"/>
    </w:rPr>
  </w:style>
  <w:style w:type="paragraph" w:customStyle="1" w:styleId="NoteBullet">
    <w:name w:val="Note Bullet"/>
    <w:basedOn w:val="Note"/>
    <w:rsid w:val="00563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EE2"/>
    <w:rPr>
      <w:b/>
      <w:smallCaps/>
    </w:rPr>
  </w:style>
  <w:style w:type="paragraph" w:customStyle="1" w:styleId="TableListNumber">
    <w:name w:val="Table List Number"/>
    <w:basedOn w:val="ListNumber"/>
    <w:rsid w:val="00563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EE2"/>
    <w:pPr>
      <w:numPr>
        <w:numId w:val="8"/>
      </w:numPr>
    </w:pPr>
  </w:style>
  <w:style w:type="paragraph" w:customStyle="1" w:styleId="ListAlpha2">
    <w:name w:val="List Alpha 2"/>
    <w:basedOn w:val="List2"/>
    <w:rsid w:val="00563EE2"/>
    <w:pPr>
      <w:numPr>
        <w:numId w:val="7"/>
      </w:numPr>
    </w:pPr>
  </w:style>
  <w:style w:type="paragraph" w:styleId="List2">
    <w:name w:val="List 2"/>
    <w:basedOn w:val="BodyText"/>
    <w:rsid w:val="00563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EE2"/>
    <w:pPr>
      <w:numPr>
        <w:numId w:val="3"/>
      </w:numPr>
    </w:pPr>
  </w:style>
  <w:style w:type="paragraph" w:styleId="ListContinue2">
    <w:name w:val="List Continue 2"/>
    <w:basedOn w:val="List2"/>
    <w:rsid w:val="00563EE2"/>
    <w:pPr>
      <w:ind w:firstLine="0"/>
    </w:pPr>
  </w:style>
  <w:style w:type="paragraph" w:styleId="ListContinue3">
    <w:name w:val="List Continue 3"/>
    <w:basedOn w:val="List3"/>
    <w:rsid w:val="00563EE2"/>
    <w:pPr>
      <w:ind w:left="1021" w:firstLine="0"/>
    </w:pPr>
  </w:style>
  <w:style w:type="paragraph" w:styleId="ListContinue4">
    <w:name w:val="List Continue 4"/>
    <w:basedOn w:val="List4"/>
    <w:rsid w:val="00563EE2"/>
    <w:pPr>
      <w:ind w:firstLine="0"/>
    </w:pPr>
  </w:style>
  <w:style w:type="paragraph" w:styleId="ListContinue5">
    <w:name w:val="List Continue 5"/>
    <w:basedOn w:val="List5"/>
    <w:rsid w:val="00563EE2"/>
    <w:pPr>
      <w:ind w:firstLine="0"/>
    </w:pPr>
  </w:style>
  <w:style w:type="paragraph" w:styleId="ListNumber3">
    <w:name w:val="List Number 3"/>
    <w:basedOn w:val="List3"/>
    <w:rsid w:val="00563EE2"/>
    <w:pPr>
      <w:numPr>
        <w:numId w:val="4"/>
      </w:numPr>
    </w:pPr>
  </w:style>
  <w:style w:type="paragraph" w:styleId="ListNumber4">
    <w:name w:val="List Number 4"/>
    <w:basedOn w:val="List4"/>
    <w:rsid w:val="00563EE2"/>
    <w:pPr>
      <w:numPr>
        <w:numId w:val="5"/>
      </w:numPr>
    </w:pPr>
  </w:style>
  <w:style w:type="paragraph" w:styleId="ListNumber5">
    <w:name w:val="List Number 5"/>
    <w:basedOn w:val="List5"/>
    <w:rsid w:val="00563EE2"/>
    <w:pPr>
      <w:numPr>
        <w:numId w:val="6"/>
      </w:numPr>
    </w:pPr>
  </w:style>
  <w:style w:type="paragraph" w:styleId="BlockText">
    <w:name w:val="Block Text"/>
    <w:basedOn w:val="Normal"/>
    <w:rsid w:val="00563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EE2"/>
    <w:rPr>
      <w:sz w:val="16"/>
      <w:vertAlign w:val="superscript"/>
    </w:rPr>
  </w:style>
  <w:style w:type="character" w:customStyle="1" w:styleId="Symbols">
    <w:name w:val="Symbols"/>
    <w:basedOn w:val="DefaultParagraphFont"/>
    <w:rsid w:val="00563EE2"/>
    <w:rPr>
      <w:rFonts w:ascii="Symbol" w:hAnsi="Symbol"/>
    </w:rPr>
  </w:style>
  <w:style w:type="character" w:customStyle="1" w:styleId="MenuOptions">
    <w:name w:val="Menu Options"/>
    <w:basedOn w:val="DefaultParagraphFont"/>
    <w:rsid w:val="00563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EE2"/>
    <w:rPr>
      <w:b/>
    </w:rPr>
  </w:style>
  <w:style w:type="character" w:customStyle="1" w:styleId="Underlined">
    <w:name w:val="Underlined"/>
    <w:basedOn w:val="DefaultParagraphFont"/>
    <w:rsid w:val="00563EE2"/>
    <w:rPr>
      <w:u w:val="single"/>
    </w:rPr>
  </w:style>
  <w:style w:type="paragraph" w:customStyle="1" w:styleId="TableBodyTextRight">
    <w:name w:val="Table Body Text Right"/>
    <w:basedOn w:val="TableBodyText"/>
    <w:rsid w:val="00563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EE2"/>
    <w:rPr>
      <w:sz w:val="18"/>
    </w:rPr>
  </w:style>
  <w:style w:type="paragraph" w:customStyle="1" w:styleId="BodySmallRight">
    <w:name w:val="Body Small Right"/>
    <w:basedOn w:val="BodyTextRight"/>
    <w:rsid w:val="00563EE2"/>
    <w:rPr>
      <w:sz w:val="18"/>
      <w:szCs w:val="18"/>
    </w:rPr>
  </w:style>
  <w:style w:type="paragraph" w:customStyle="1" w:styleId="MarginEdition">
    <w:name w:val="Margin Edition"/>
    <w:basedOn w:val="MarginNote"/>
    <w:rsid w:val="00563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EE2"/>
    <w:rPr>
      <w:sz w:val="2"/>
      <w:szCs w:val="2"/>
    </w:rPr>
  </w:style>
  <w:style w:type="character" w:customStyle="1" w:styleId="Small">
    <w:name w:val="Small"/>
    <w:basedOn w:val="DefaultParagraphFont"/>
    <w:rsid w:val="00563EE2"/>
    <w:rPr>
      <w:sz w:val="16"/>
    </w:rPr>
  </w:style>
  <w:style w:type="paragraph" w:customStyle="1" w:styleId="WideTable">
    <w:name w:val="Wide Table"/>
    <w:basedOn w:val="Normal"/>
    <w:rsid w:val="00563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EE2"/>
  </w:style>
  <w:style w:type="paragraph" w:styleId="Quote">
    <w:name w:val="Quote"/>
    <w:basedOn w:val="Heading1"/>
    <w:link w:val="QuoteChar"/>
    <w:qFormat/>
    <w:rsid w:val="00563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EE2"/>
    <w:pPr>
      <w:pageBreakBefore/>
    </w:pPr>
  </w:style>
  <w:style w:type="paragraph" w:customStyle="1" w:styleId="Border">
    <w:name w:val="Border"/>
    <w:basedOn w:val="Normal"/>
    <w:qFormat/>
    <w:rsid w:val="00563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EE2"/>
    <w:rPr>
      <w:u w:val="single"/>
    </w:rPr>
  </w:style>
  <w:style w:type="character" w:customStyle="1" w:styleId="BoldandItalics">
    <w:name w:val="Bold and Italics"/>
    <w:qFormat/>
    <w:rsid w:val="00563EE2"/>
    <w:rPr>
      <w:b/>
      <w:i/>
      <w:u w:val="none"/>
    </w:rPr>
  </w:style>
  <w:style w:type="paragraph" w:styleId="BalloonText">
    <w:name w:val="Balloon Text"/>
    <w:basedOn w:val="Normal"/>
    <w:link w:val="BalloonTextChar"/>
    <w:rsid w:val="00563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E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1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3812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ACMEQU214 Prepare to work safely around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