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947" w:rsidP="009F3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ACMEQD501 Relate equine masticatory system to oral function, conditions and their health impacts</w:t>
      </w:r>
      <w:r>
        <w:fldChar w:fldCharType="end"/>
      </w:r>
    </w:p>
    <w:p w:rsidR="009F3947" w:rsidP="009F3947">
      <w:pPr>
        <w:pStyle w:val="Version"/>
        <w:sectPr w:rsidSect="00E16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CDE" w:rsidP="00E16CDE">
      <w:pPr>
        <w:pStyle w:val="SuperHeading"/>
      </w:pPr>
      <w:r w:rsidRPr="00E16CDE">
        <w:t>Assessment Requirements for ACMEQD501 Relate equine masticatory system to oral function, conditions and their health impacts</w:t>
      </w:r>
    </w:p>
    <w:p w:rsidR="00000000" w:rsidRPr="00E16CDE" w:rsidP="00E16CDE">
      <w:pPr>
        <w:pStyle w:val="Heading1"/>
      </w:pPr>
      <w:bookmarkStart w:id="1" w:name="O_1210477"/>
      <w:bookmarkEnd w:id="1"/>
      <w:r w:rsidRPr="00E16C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6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CDE">
            <w:pPr>
              <w:pStyle w:val="BodyTextBold"/>
              <w:rPr>
                <w:lang w:val="en-NZ"/>
              </w:rPr>
            </w:pPr>
            <w:r w:rsidRPr="00E16C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CDE">
            <w:pPr>
              <w:pStyle w:val="BodyTextBold"/>
              <w:rPr>
                <w:lang w:val="en-NZ"/>
              </w:rPr>
            </w:pPr>
            <w:r w:rsidRPr="00E16CDE">
              <w:t>Comments</w:t>
            </w:r>
          </w:p>
        </w:tc>
      </w:tr>
      <w:tr w:rsidTr="00E16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CDE">
            <w:pPr>
              <w:pStyle w:val="BodyText"/>
              <w:rPr>
                <w:lang w:val="en-NZ"/>
              </w:rPr>
            </w:pPr>
            <w:r w:rsidRPr="00E16C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CDE" w:rsidP="00E16CDE">
            <w:pPr>
              <w:pStyle w:val="BodyText"/>
            </w:pPr>
            <w:r w:rsidRPr="00E16CDE">
              <w:t>This version released with ACM Animal Care and Management Training Package Version 5.0.</w:t>
            </w:r>
          </w:p>
        </w:tc>
      </w:tr>
    </w:tbl>
    <w:p w:rsidR="00000000" w:rsidRPr="00E16CDE" w:rsidP="00E16CDE">
      <w:pPr>
        <w:pStyle w:val="BodyText"/>
      </w:pPr>
    </w:p>
    <w:p w:rsidR="00000000" w:rsidRPr="00E16CDE" w:rsidP="00E16CDE">
      <w:pPr>
        <w:pStyle w:val="AllowPageBreak"/>
      </w:pPr>
    </w:p>
    <w:p w:rsidR="00000000" w:rsidRPr="00E16CDE" w:rsidP="00E16CDE">
      <w:pPr>
        <w:pStyle w:val="Heading1"/>
      </w:pPr>
      <w:bookmarkStart w:id="2" w:name="O_1210478"/>
      <w:bookmarkEnd w:id="2"/>
      <w:r w:rsidRPr="00E16CDE">
        <w:t>Performance Evidence</w:t>
      </w:r>
    </w:p>
    <w:p w:rsidR="00000000" w:rsidRPr="00E16CDE" w:rsidP="009F3947">
      <w:pPr>
        <w:pStyle w:val="BodyText"/>
      </w:pPr>
      <w:r w:rsidRPr="00E16CDE">
        <w:t xml:space="preserve">An individual demonstrating competency must satisfy all of the elements and performance criteria in this unit. </w:t>
      </w:r>
    </w:p>
    <w:p w:rsidR="00000000" w:rsidRPr="00E16CDE" w:rsidP="009F3947">
      <w:pPr>
        <w:pStyle w:val="BodyText"/>
      </w:pPr>
      <w:r w:rsidRPr="00E16CDE">
        <w:t xml:space="preserve">There must be </w:t>
      </w:r>
      <w:r w:rsidRPr="00E16CDE">
        <w:t xml:space="preserve">evidence that the individual has examined oral condition of at least twelve equines, including: </w:t>
      </w:r>
    </w:p>
    <w:p w:rsidR="00000000" w:rsidRPr="00E16CDE" w:rsidP="00E16CDE">
      <w:pPr>
        <w:pStyle w:val="ListBullet"/>
      </w:pPr>
      <w:r w:rsidRPr="00E16CDE">
        <w:t>at least two equines in each of the following life stages:</w:t>
      </w:r>
    </w:p>
    <w:p w:rsidR="00000000" w:rsidRPr="00E16CDE" w:rsidP="00E16CDE">
      <w:pPr>
        <w:pStyle w:val="ListBullet2"/>
      </w:pPr>
      <w:r w:rsidRPr="00E16CDE">
        <w:t>young (less than 6 years)</w:t>
      </w:r>
    </w:p>
    <w:p w:rsidR="00000000" w:rsidRPr="00E16CDE" w:rsidP="00E16CDE">
      <w:pPr>
        <w:pStyle w:val="ListBullet2"/>
      </w:pPr>
      <w:r w:rsidRPr="00E16CDE">
        <w:t xml:space="preserve">mature </w:t>
      </w:r>
    </w:p>
    <w:p w:rsidR="00000000" w:rsidRPr="00E16CDE" w:rsidP="00E16CDE">
      <w:pPr>
        <w:pStyle w:val="ListBullet2"/>
      </w:pPr>
      <w:r w:rsidRPr="00E16CDE">
        <w:t>senior/aged</w:t>
      </w:r>
    </w:p>
    <w:p w:rsidR="00000000" w:rsidRPr="00E16CDE" w:rsidP="00E16CDE">
      <w:pPr>
        <w:pStyle w:val="ListBullet"/>
      </w:pPr>
      <w:r w:rsidRPr="00E16CDE">
        <w:t>at least two equines on each of the following diets:</w:t>
      </w:r>
    </w:p>
    <w:p w:rsidR="00000000" w:rsidRPr="00E16CDE" w:rsidP="00E16CDE">
      <w:pPr>
        <w:pStyle w:val="ListBullet2"/>
      </w:pPr>
      <w:r w:rsidRPr="00E16CDE">
        <w:t>pasture/paddock</w:t>
      </w:r>
    </w:p>
    <w:p w:rsidR="00000000" w:rsidRPr="00E16CDE" w:rsidP="00E16CDE">
      <w:pPr>
        <w:pStyle w:val="ListBullet2"/>
      </w:pPr>
      <w:r w:rsidRPr="00E16CDE">
        <w:t xml:space="preserve">stable feed </w:t>
      </w:r>
    </w:p>
    <w:p w:rsidR="00000000" w:rsidRPr="00E16CDE" w:rsidP="00E16CDE">
      <w:pPr>
        <w:pStyle w:val="ListBullet2"/>
      </w:pPr>
      <w:r w:rsidRPr="00E16CDE">
        <w:t>high performance feed.</w:t>
      </w:r>
    </w:p>
    <w:p w:rsidR="00000000" w:rsidRPr="00E16CDE" w:rsidP="009F3947">
      <w:pPr>
        <w:pStyle w:val="BodyText"/>
      </w:pPr>
      <w:r w:rsidRPr="00E16CDE">
        <w:t>For each twelve equine oral examinations, the individual must have carried out the following:</w:t>
      </w:r>
    </w:p>
    <w:p w:rsidR="00000000" w:rsidRPr="00E16CDE" w:rsidP="00E16CDE">
      <w:pPr>
        <w:pStyle w:val="ListBullet"/>
      </w:pPr>
      <w:r w:rsidRPr="00E16CDE">
        <w:t>located and described oral cavity features by name, loc</w:t>
      </w:r>
      <w:r w:rsidRPr="00E16CDE">
        <w:t>ation and function</w:t>
      </w:r>
    </w:p>
    <w:p w:rsidR="00000000" w:rsidRPr="00E16CDE" w:rsidP="00E16CDE">
      <w:pPr>
        <w:pStyle w:val="ListBullet"/>
      </w:pPr>
      <w:r w:rsidRPr="00E16CDE">
        <w:t>identified lateral excursion, rostro-caudal movement and occlusal functionality</w:t>
      </w:r>
    </w:p>
    <w:p w:rsidR="00000000" w:rsidRPr="00E16CDE" w:rsidP="00E16CDE">
      <w:pPr>
        <w:pStyle w:val="ListBullet"/>
      </w:pPr>
      <w:r w:rsidRPr="00E16CDE">
        <w:t>estimated equine age based on tooth eruption, development, wear, shape and incisor angulation</w:t>
      </w:r>
    </w:p>
    <w:p w:rsidR="00000000" w:rsidRPr="00E16CDE" w:rsidP="00E16CDE">
      <w:pPr>
        <w:pStyle w:val="ListBullet"/>
      </w:pPr>
      <w:r w:rsidRPr="00E16CDE">
        <w:t>assessed basic general health and health of teeth and dental st</w:t>
      </w:r>
      <w:r w:rsidRPr="00E16CDE">
        <w:t>ructures for each equine</w:t>
      </w:r>
    </w:p>
    <w:p w:rsidR="00000000" w:rsidRPr="00E16CDE" w:rsidP="00E16CDE">
      <w:pPr>
        <w:pStyle w:val="ListBullet"/>
      </w:pPr>
      <w:r w:rsidRPr="00E16CDE">
        <w:t>identified evidence of pathology, health issues and appropriate or inappropriate dental care for each equine</w:t>
      </w:r>
    </w:p>
    <w:p w:rsidR="00000000" w:rsidRPr="00E16CDE" w:rsidP="00E16CDE">
      <w:pPr>
        <w:pStyle w:val="ListBullet"/>
      </w:pPr>
      <w:r w:rsidRPr="00E16CDE">
        <w:t xml:space="preserve">completed accurate dental charts for each equine examined </w:t>
      </w:r>
    </w:p>
    <w:p w:rsidR="00000000" w:rsidRPr="00E16CDE" w:rsidP="00E16CDE">
      <w:pPr>
        <w:pStyle w:val="ListBullet"/>
      </w:pPr>
      <w:r w:rsidRPr="00E16CDE">
        <w:t>used appropriate dental codes, language and terminology to docu</w:t>
      </w:r>
      <w:r w:rsidRPr="00E16CDE">
        <w:t xml:space="preserve">ment functionality of the masticatory system and all observations. </w:t>
      </w:r>
    </w:p>
    <w:p w:rsidR="00000000" w:rsidRPr="00E16CDE" w:rsidP="00E16CDE">
      <w:pPr>
        <w:pStyle w:val="AllowPageBreak"/>
      </w:pPr>
    </w:p>
    <w:p w:rsidR="00000000" w:rsidRPr="00E16CDE" w:rsidP="00E16CDE">
      <w:pPr>
        <w:pStyle w:val="Heading1"/>
      </w:pPr>
      <w:bookmarkStart w:id="3" w:name="O_1210479"/>
      <w:bookmarkEnd w:id="3"/>
      <w:r w:rsidRPr="00E16CDE">
        <w:t>Knowledge Evidence</w:t>
      </w:r>
    </w:p>
    <w:p w:rsidR="00000000" w:rsidRPr="00E16CDE" w:rsidP="009F3947">
      <w:pPr>
        <w:pStyle w:val="BodyText"/>
      </w:pPr>
      <w:r w:rsidRPr="00E16CDE">
        <w:t xml:space="preserve">An individual must be able to demonstrate the knowledge required to perform the tasks outlined in the elements and performance criteria of this unit. </w:t>
      </w:r>
      <w:r w:rsidRPr="00E16CDE">
        <w:t>This includes knowledge of:</w:t>
      </w:r>
    </w:p>
    <w:p w:rsidR="00000000" w:rsidRPr="00E16CDE" w:rsidP="00E16CDE">
      <w:pPr>
        <w:pStyle w:val="ListBullet"/>
      </w:pPr>
      <w:r w:rsidRPr="00E16CDE">
        <w:t>functionality of the equine masticatory system</w:t>
      </w:r>
    </w:p>
    <w:p w:rsidR="00000000" w:rsidRPr="00E16CDE" w:rsidP="00E16CDE">
      <w:pPr>
        <w:pStyle w:val="ListBullet"/>
      </w:pPr>
      <w:r w:rsidRPr="00E16CDE">
        <w:t>structures and features of the anatomically correct and healthy equine head and dentition, and well-maintained oral cavity, including:</w:t>
      </w:r>
    </w:p>
    <w:p w:rsidR="00000000" w:rsidRPr="00E16CDE" w:rsidP="00E16CDE">
      <w:pPr>
        <w:pStyle w:val="ListBullet2"/>
      </w:pPr>
      <w:r w:rsidRPr="00E16CDE">
        <w:t>bone structures of the head</w:t>
      </w:r>
    </w:p>
    <w:p w:rsidR="00000000" w:rsidRPr="00E16CDE" w:rsidP="00E16CDE">
      <w:pPr>
        <w:pStyle w:val="ListBullet2"/>
      </w:pPr>
      <w:r w:rsidRPr="00E16CDE">
        <w:t>soft tissues, in</w:t>
      </w:r>
      <w:r w:rsidRPr="00E16CDE">
        <w:t>cluding lips, tongue, gums and cheeks</w:t>
      </w:r>
    </w:p>
    <w:p w:rsidR="00000000" w:rsidRPr="00E16CDE" w:rsidP="00E16CDE">
      <w:pPr>
        <w:pStyle w:val="ListBullet2"/>
      </w:pPr>
      <w:r w:rsidRPr="00E16CDE">
        <w:t>hard palate and palatine artery</w:t>
      </w:r>
    </w:p>
    <w:p w:rsidR="00000000" w:rsidRPr="00E16CDE" w:rsidP="00E16CDE">
      <w:pPr>
        <w:pStyle w:val="ListBullet2"/>
      </w:pPr>
      <w:r w:rsidRPr="00E16CDE">
        <w:t>periodontal and related structures</w:t>
      </w:r>
    </w:p>
    <w:p w:rsidR="00000000" w:rsidRPr="00E16CDE" w:rsidP="00E16CDE">
      <w:pPr>
        <w:pStyle w:val="ListBullet2"/>
      </w:pPr>
      <w:r w:rsidRPr="00E16CDE">
        <w:t xml:space="preserve">equine teeth </w:t>
      </w:r>
    </w:p>
    <w:p w:rsidR="00000000" w:rsidRPr="00E16CDE" w:rsidP="00E16CDE">
      <w:pPr>
        <w:pStyle w:val="ListBullet2"/>
      </w:pPr>
      <w:r w:rsidRPr="00E16CDE">
        <w:t xml:space="preserve">innervation and blood supply to various structures of the head </w:t>
      </w:r>
    </w:p>
    <w:p w:rsidR="00000000" w:rsidRPr="00E16CDE" w:rsidP="00E16CDE">
      <w:pPr>
        <w:pStyle w:val="ListBullet"/>
      </w:pPr>
      <w:r w:rsidRPr="00E16CDE">
        <w:t>key functions of oral structures, including:</w:t>
      </w:r>
    </w:p>
    <w:p w:rsidR="00000000" w:rsidRPr="00E16CDE" w:rsidP="00E16CDE">
      <w:pPr>
        <w:pStyle w:val="ListBullet2"/>
      </w:pPr>
      <w:r w:rsidRPr="00E16CDE">
        <w:t>those used for prehension,</w:t>
      </w:r>
      <w:r w:rsidRPr="00E16CDE">
        <w:t xml:space="preserve"> mastication, swallowing, digestion</w:t>
      </w:r>
    </w:p>
    <w:p w:rsidR="00000000" w:rsidRPr="00E16CDE" w:rsidP="00E16CDE">
      <w:pPr>
        <w:pStyle w:val="ListBullet2"/>
      </w:pPr>
      <w:r w:rsidRPr="00E16CDE">
        <w:t>normal and abnormal functions, including physiology and effect of diet</w:t>
      </w:r>
    </w:p>
    <w:p w:rsidR="00000000" w:rsidRPr="00E16CDE" w:rsidP="00E16CDE">
      <w:pPr>
        <w:pStyle w:val="ListBullet"/>
      </w:pPr>
      <w:r w:rsidRPr="00E16CDE">
        <w:t>equine tooth types, including:</w:t>
      </w:r>
    </w:p>
    <w:p w:rsidR="00000000" w:rsidRPr="00E16CDE" w:rsidP="00E16CDE">
      <w:pPr>
        <w:pStyle w:val="ListBullet2"/>
      </w:pPr>
      <w:r w:rsidRPr="00E16CDE">
        <w:t>incisors</w:t>
      </w:r>
    </w:p>
    <w:p w:rsidR="00000000" w:rsidRPr="00E16CDE" w:rsidP="00E16CDE">
      <w:pPr>
        <w:pStyle w:val="ListBullet2"/>
      </w:pPr>
      <w:r w:rsidRPr="00E16CDE">
        <w:t>canines</w:t>
      </w:r>
    </w:p>
    <w:p w:rsidR="00000000" w:rsidRPr="00E16CDE" w:rsidP="00E16CDE">
      <w:pPr>
        <w:pStyle w:val="ListBullet2"/>
      </w:pPr>
      <w:r w:rsidRPr="00E16CDE">
        <w:t>cheek teeth – premolars (including wolf teeth) and molars</w:t>
      </w:r>
    </w:p>
    <w:p w:rsidR="00000000" w:rsidRPr="00E16CDE" w:rsidP="00E16CDE">
      <w:pPr>
        <w:pStyle w:val="ListBullet2"/>
      </w:pPr>
      <w:r w:rsidRPr="00E16CDE">
        <w:t>supernumerary teeth</w:t>
      </w:r>
    </w:p>
    <w:p w:rsidR="00000000" w:rsidRPr="00E16CDE" w:rsidP="00E16CDE">
      <w:pPr>
        <w:pStyle w:val="ListBullet"/>
      </w:pPr>
      <w:r w:rsidRPr="00E16CDE">
        <w:t>stages of tooth development, including:</w:t>
      </w:r>
    </w:p>
    <w:p w:rsidR="00000000" w:rsidRPr="00E16CDE" w:rsidP="00E16CDE">
      <w:pPr>
        <w:pStyle w:val="ListBullet2"/>
      </w:pPr>
      <w:r w:rsidRPr="00E16CDE">
        <w:t>bud stage, cap stage, bell stage</w:t>
      </w:r>
    </w:p>
    <w:p w:rsidR="00000000" w:rsidRPr="00E16CDE" w:rsidP="00E16CDE">
      <w:pPr>
        <w:pStyle w:val="ListBullet2"/>
      </w:pPr>
      <w:r w:rsidRPr="00E16CDE">
        <w:t>embryonic sac</w:t>
      </w:r>
    </w:p>
    <w:p w:rsidR="00000000" w:rsidRPr="00E16CDE" w:rsidP="00E16CDE">
      <w:pPr>
        <w:pStyle w:val="ListBullet2"/>
      </w:pPr>
      <w:r w:rsidRPr="00E16CDE">
        <w:t xml:space="preserve">deciduous, permanent </w:t>
      </w:r>
    </w:p>
    <w:p w:rsidR="00000000" w:rsidRPr="00E16CDE" w:rsidP="00E16CDE">
      <w:pPr>
        <w:pStyle w:val="ListBullet2"/>
      </w:pPr>
      <w:r w:rsidRPr="00E16CDE">
        <w:t>mineralisation, attrition and ageing</w:t>
      </w:r>
    </w:p>
    <w:p w:rsidR="00000000" w:rsidRPr="00E16CDE" w:rsidP="00E16CDE">
      <w:pPr>
        <w:pStyle w:val="ListBullet"/>
      </w:pPr>
      <w:r w:rsidRPr="00E16CDE">
        <w:t>nomenclature and classification of equine tooth types, including:</w:t>
      </w:r>
    </w:p>
    <w:p w:rsidR="00000000" w:rsidRPr="00E16CDE" w:rsidP="00E16CDE">
      <w:pPr>
        <w:pStyle w:val="ListBullet2"/>
      </w:pPr>
      <w:r w:rsidRPr="00E16CDE">
        <w:t xml:space="preserve">Triadan numbering system </w:t>
      </w:r>
    </w:p>
    <w:p w:rsidR="00000000" w:rsidRPr="00E16CDE" w:rsidP="00E16CDE">
      <w:pPr>
        <w:pStyle w:val="ListBullet2"/>
      </w:pPr>
      <w:r w:rsidRPr="00E16CDE">
        <w:t>anatomical nome</w:t>
      </w:r>
      <w:r w:rsidRPr="00E16CDE">
        <w:t>nclature of teeth</w:t>
      </w:r>
    </w:p>
    <w:p w:rsidR="00000000" w:rsidRPr="00E16CDE" w:rsidP="00E16CDE">
      <w:pPr>
        <w:pStyle w:val="ListBullet2"/>
      </w:pPr>
      <w:r w:rsidRPr="00E16CDE">
        <w:t>deciduous and permanent teeth, and timing and stage of eruption</w:t>
      </w:r>
    </w:p>
    <w:p w:rsidR="00000000" w:rsidRPr="00E16CDE" w:rsidP="00E16CDE">
      <w:pPr>
        <w:pStyle w:val="ListBullet"/>
      </w:pPr>
      <w:r w:rsidRPr="00E16CDE">
        <w:t>structures of equine teeth and associated structures, including:</w:t>
      </w:r>
    </w:p>
    <w:p w:rsidR="00000000" w:rsidRPr="00E16CDE" w:rsidP="00E16CDE">
      <w:pPr>
        <w:pStyle w:val="ListBullet2"/>
      </w:pPr>
      <w:r w:rsidRPr="00E16CDE">
        <w:t>apical foramen</w:t>
      </w:r>
    </w:p>
    <w:p w:rsidR="00000000" w:rsidRPr="00E16CDE" w:rsidP="00E16CDE">
      <w:pPr>
        <w:pStyle w:val="ListBullet2"/>
      </w:pPr>
      <w:r w:rsidRPr="00E16CDE">
        <w:t xml:space="preserve">alveolus (socket) </w:t>
      </w:r>
    </w:p>
    <w:p w:rsidR="00000000" w:rsidRPr="00E16CDE" w:rsidP="00E16CDE">
      <w:pPr>
        <w:pStyle w:val="ListBullet2"/>
      </w:pPr>
      <w:r w:rsidRPr="00E16CDE">
        <w:t xml:space="preserve">periodontal ligament </w:t>
      </w:r>
    </w:p>
    <w:p w:rsidR="00000000" w:rsidRPr="00E16CDE" w:rsidP="00E16CDE">
      <w:pPr>
        <w:pStyle w:val="ListBullet2"/>
      </w:pPr>
      <w:r w:rsidRPr="00E16CDE">
        <w:t>Sharpey</w:t>
      </w:r>
      <w:r>
        <w:t>’</w:t>
      </w:r>
      <w:r w:rsidRPr="00E16CDE">
        <w:t>s fibres</w:t>
      </w:r>
    </w:p>
    <w:p w:rsidR="00000000" w:rsidRPr="00E16CDE" w:rsidP="00E16CDE">
      <w:pPr>
        <w:pStyle w:val="ListBullet2"/>
      </w:pPr>
      <w:r w:rsidRPr="00E16CDE">
        <w:t>cementum, dentine and enamel</w:t>
      </w:r>
    </w:p>
    <w:p w:rsidR="00000000" w:rsidRPr="00E16CDE" w:rsidP="00E16CDE">
      <w:pPr>
        <w:pStyle w:val="ListBullet2"/>
      </w:pPr>
      <w:r w:rsidRPr="00E16CDE">
        <w:t>root, reserve crown and clinical crown, infundibulum</w:t>
      </w:r>
    </w:p>
    <w:p w:rsidR="00000000" w:rsidRPr="00E16CDE" w:rsidP="00E16CDE">
      <w:pPr>
        <w:pStyle w:val="ListBullet2"/>
      </w:pPr>
      <w:r w:rsidRPr="00E16CDE">
        <w:t>pulp canals (or chamber) nerves, vessels and associated structures</w:t>
      </w:r>
    </w:p>
    <w:p w:rsidR="00000000" w:rsidRPr="00E16CDE" w:rsidP="00E16CDE">
      <w:pPr>
        <w:pStyle w:val="ListBullet"/>
      </w:pPr>
      <w:r w:rsidRPr="00E16CDE">
        <w:t>stages of development and eruption of teeth, including:</w:t>
      </w:r>
    </w:p>
    <w:p w:rsidR="00000000" w:rsidRPr="00E16CDE" w:rsidP="00E16CDE">
      <w:pPr>
        <w:pStyle w:val="ListBullet2"/>
      </w:pPr>
      <w:r w:rsidRPr="00E16CDE">
        <w:t>bud, cap, bell and mineralisation stages</w:t>
      </w:r>
    </w:p>
    <w:p w:rsidR="00000000" w:rsidRPr="00E16CDE" w:rsidP="00E16CDE">
      <w:pPr>
        <w:pStyle w:val="ListBullet2"/>
      </w:pPr>
      <w:r w:rsidRPr="00E16CDE">
        <w:t>deciduous and permanent tooth eruptio</w:t>
      </w:r>
      <w:r w:rsidRPr="00E16CDE">
        <w:t>n</w:t>
      </w:r>
    </w:p>
    <w:p w:rsidR="00000000" w:rsidRPr="00E16CDE" w:rsidP="00E16CDE">
      <w:pPr>
        <w:pStyle w:val="ListBullet2"/>
      </w:pPr>
      <w:r w:rsidRPr="00E16CDE">
        <w:t>structure of enamel, cementum and dentine</w:t>
      </w:r>
    </w:p>
    <w:p w:rsidR="00000000" w:rsidRPr="00E16CDE" w:rsidP="00E16CDE">
      <w:pPr>
        <w:pStyle w:val="ListBullet2"/>
      </w:pPr>
      <w:r w:rsidRPr="00E16CDE">
        <w:t>attrition/wear of the different dental structures</w:t>
      </w:r>
    </w:p>
    <w:p w:rsidR="00000000" w:rsidRPr="00E16CDE" w:rsidP="00E16CDE">
      <w:pPr>
        <w:pStyle w:val="ListBullet"/>
      </w:pPr>
      <w:r w:rsidRPr="00E16CDE">
        <w:t>abnormalities of development and eruption, including:</w:t>
      </w:r>
    </w:p>
    <w:p w:rsidR="00000000" w:rsidRPr="00E16CDE" w:rsidP="00E16CDE">
      <w:pPr>
        <w:pStyle w:val="ListBullet2"/>
      </w:pPr>
      <w:r w:rsidRPr="00E16CDE">
        <w:t>absence of teeth (oligodontia)</w:t>
      </w:r>
    </w:p>
    <w:p w:rsidR="00000000" w:rsidRPr="00E16CDE" w:rsidP="00E16CDE">
      <w:pPr>
        <w:pStyle w:val="ListBullet2"/>
      </w:pPr>
      <w:r w:rsidRPr="00E16CDE">
        <w:t>supernumerary teeth</w:t>
      </w:r>
    </w:p>
    <w:p w:rsidR="00000000" w:rsidRPr="00E16CDE" w:rsidP="00E16CDE">
      <w:pPr>
        <w:pStyle w:val="ListBullet2"/>
      </w:pPr>
      <w:r w:rsidRPr="00E16CDE">
        <w:t>developmental defects of the teeth</w:t>
      </w:r>
    </w:p>
    <w:p w:rsidR="00000000" w:rsidRPr="00E16CDE" w:rsidP="00E16CDE">
      <w:pPr>
        <w:pStyle w:val="ListBullet2"/>
      </w:pPr>
      <w:r w:rsidRPr="00E16CDE">
        <w:t>dentigerous cysts</w:t>
      </w:r>
    </w:p>
    <w:p w:rsidR="00000000" w:rsidRPr="00E16CDE" w:rsidP="00E16CDE">
      <w:pPr>
        <w:pStyle w:val="ListBullet2"/>
      </w:pPr>
      <w:r w:rsidRPr="00E16CDE">
        <w:t>impaction (failure of tooth to erupt normally)</w:t>
      </w:r>
    </w:p>
    <w:p w:rsidR="00000000" w:rsidRPr="00E16CDE" w:rsidP="00E16CDE">
      <w:pPr>
        <w:pStyle w:val="ListBullet2"/>
      </w:pPr>
      <w:r w:rsidRPr="00E16CDE">
        <w:t>lack of wear</w:t>
      </w:r>
    </w:p>
    <w:p w:rsidR="00000000" w:rsidRPr="00E16CDE" w:rsidP="00E16CDE">
      <w:pPr>
        <w:pStyle w:val="ListBullet2"/>
      </w:pPr>
      <w:r w:rsidRPr="00E16CDE">
        <w:t>parrot mouth, overbite, overjet (mandibular brachygnathism/maxillary prognathia)</w:t>
      </w:r>
    </w:p>
    <w:p w:rsidR="00000000" w:rsidRPr="00E16CDE" w:rsidP="00E16CDE">
      <w:pPr>
        <w:pStyle w:val="ListBullet2"/>
      </w:pPr>
      <w:r w:rsidRPr="00E16CDE">
        <w:t>sow mouth, monkey mouth (maxillary brachygnathism/mandibular prognathia)</w:t>
      </w:r>
    </w:p>
    <w:p w:rsidR="00000000" w:rsidRPr="00E16CDE" w:rsidP="00E16CDE">
      <w:pPr>
        <w:pStyle w:val="ListBullet2"/>
      </w:pPr>
      <w:r w:rsidRPr="00E16CDE">
        <w:t>wry mouth (campylorrhinus lateralis)</w:t>
      </w:r>
    </w:p>
    <w:p w:rsidR="00000000" w:rsidRPr="00E16CDE" w:rsidP="00E16CDE">
      <w:pPr>
        <w:pStyle w:val="ListBullet"/>
      </w:pPr>
      <w:r w:rsidRPr="00E16CDE">
        <w:t>stag</w:t>
      </w:r>
      <w:r w:rsidRPr="00E16CDE">
        <w:t>es of equine dental eruption and age indicators, including:</w:t>
      </w:r>
    </w:p>
    <w:p w:rsidR="00000000" w:rsidRPr="00E16CDE" w:rsidP="00E16CDE">
      <w:pPr>
        <w:pStyle w:val="ListBullet2"/>
      </w:pPr>
      <w:r w:rsidRPr="00E16CDE">
        <w:t>presence or absence of deciduous teeth, permanent teeth and infundibulae</w:t>
      </w:r>
    </w:p>
    <w:p w:rsidR="00000000" w:rsidRPr="00E16CDE" w:rsidP="00E16CDE">
      <w:pPr>
        <w:pStyle w:val="ListBullet2"/>
      </w:pPr>
      <w:r w:rsidRPr="00E16CDE">
        <w:t>observation of teeth in wear</w:t>
      </w:r>
    </w:p>
    <w:p w:rsidR="00000000" w:rsidRPr="00E16CDE" w:rsidP="00E16CDE">
      <w:pPr>
        <w:pStyle w:val="ListBullet"/>
      </w:pPr>
      <w:r w:rsidRPr="00E16CDE">
        <w:t>masticatory processes, including:</w:t>
      </w:r>
    </w:p>
    <w:p w:rsidR="00000000" w:rsidRPr="00E16CDE" w:rsidP="00E16CDE">
      <w:pPr>
        <w:pStyle w:val="ListBullet2"/>
      </w:pPr>
      <w:r w:rsidRPr="00E16CDE">
        <w:t>biomechanics of masticatory system</w:t>
      </w:r>
    </w:p>
    <w:p w:rsidR="00000000" w:rsidRPr="00E16CDE" w:rsidP="00E16CDE">
      <w:pPr>
        <w:pStyle w:val="ListBullet2"/>
      </w:pPr>
      <w:r w:rsidRPr="00E16CDE">
        <w:t xml:space="preserve">feed manipulation and </w:t>
      </w:r>
      <w:r w:rsidRPr="00E16CDE">
        <w:t xml:space="preserve">formation of food bolus and transit through oral cavity </w:t>
      </w:r>
    </w:p>
    <w:p w:rsidR="00000000" w:rsidRPr="00E16CDE" w:rsidP="00E16CDE">
      <w:pPr>
        <w:pStyle w:val="ListBullet2"/>
      </w:pPr>
      <w:r w:rsidRPr="00E16CDE">
        <w:t>masticatory muscles, the tongue and salivary glands</w:t>
      </w:r>
    </w:p>
    <w:p w:rsidR="00000000" w:rsidRPr="00E16CDE" w:rsidP="00E16CDE">
      <w:pPr>
        <w:pStyle w:val="ListBullet2"/>
      </w:pPr>
      <w:r w:rsidRPr="00E16CDE">
        <w:t>palate rugae</w:t>
      </w:r>
    </w:p>
    <w:p w:rsidR="00000000" w:rsidRPr="00E16CDE" w:rsidP="00E16CDE">
      <w:pPr>
        <w:pStyle w:val="ListBullet2"/>
      </w:pPr>
      <w:r w:rsidRPr="00E16CDE">
        <w:t xml:space="preserve">teeth and their normal occlusal angles and surface ridges </w:t>
      </w:r>
    </w:p>
    <w:p w:rsidR="00000000" w:rsidRPr="00E16CDE" w:rsidP="00E16CDE">
      <w:pPr>
        <w:pStyle w:val="ListBullet"/>
      </w:pPr>
      <w:r w:rsidRPr="00E16CDE">
        <w:t>process of prehension, mastication and role of normal oral function, including physiology and effect of diet</w:t>
      </w:r>
    </w:p>
    <w:p w:rsidR="00000000" w:rsidRPr="00E16CDE" w:rsidP="00E16CDE">
      <w:pPr>
        <w:pStyle w:val="ListBullet"/>
      </w:pPr>
      <w:r w:rsidRPr="00E16CDE">
        <w:t>nutritional requirements and digestive processes of equines</w:t>
      </w:r>
    </w:p>
    <w:p w:rsidR="00000000" w:rsidRPr="00E16CDE" w:rsidP="00E16CDE">
      <w:pPr>
        <w:pStyle w:val="ListBullet"/>
      </w:pPr>
      <w:r w:rsidRPr="00E16CDE">
        <w:t>potential consequences of the absence of dental care on equine health, including:</w:t>
      </w:r>
    </w:p>
    <w:p w:rsidR="00000000" w:rsidRPr="00E16CDE" w:rsidP="00E16CDE">
      <w:pPr>
        <w:pStyle w:val="ListBullet2"/>
      </w:pPr>
      <w:r w:rsidRPr="00E16CDE">
        <w:t>untr</w:t>
      </w:r>
      <w:r w:rsidRPr="00E16CDE">
        <w:t>eated pathology, including malocclusions, periodontal disease, developmental defects, fractures, decay</w:t>
      </w:r>
    </w:p>
    <w:p w:rsidR="00000000" w:rsidRPr="00E16CDE" w:rsidP="00E16CDE">
      <w:pPr>
        <w:pStyle w:val="ListBullet2"/>
      </w:pPr>
      <w:r w:rsidRPr="00E16CDE">
        <w:t>inability or reluctance to prehend or to masticate effectively</w:t>
      </w:r>
    </w:p>
    <w:p w:rsidR="00000000" w:rsidRPr="00E16CDE" w:rsidP="00E16CDE">
      <w:pPr>
        <w:pStyle w:val="ListBullet2"/>
      </w:pPr>
      <w:r w:rsidRPr="00E16CDE">
        <w:t>poor acceptance of a bit, bridle or head collar or other behavioural problems related to d</w:t>
      </w:r>
      <w:r w:rsidRPr="00E16CDE">
        <w:t>ental issues</w:t>
      </w:r>
    </w:p>
    <w:p w:rsidR="00000000" w:rsidRPr="00E16CDE" w:rsidP="00E16CDE">
      <w:pPr>
        <w:pStyle w:val="ListBullet2"/>
      </w:pPr>
      <w:r w:rsidRPr="00E16CDE">
        <w:t>gastrointestinal tract impaction and/or colic</w:t>
      </w:r>
    </w:p>
    <w:p w:rsidR="00000000" w:rsidRPr="00E16CDE" w:rsidP="00E16CDE">
      <w:pPr>
        <w:pStyle w:val="ListBullet"/>
      </w:pPr>
      <w:r w:rsidRPr="00E16CDE">
        <w:t>potential outcomes of inappropriate dental techniques and treatments, including:</w:t>
      </w:r>
    </w:p>
    <w:p w:rsidR="00000000" w:rsidRPr="00E16CDE" w:rsidP="00E16CDE">
      <w:pPr>
        <w:pStyle w:val="ListBullet2"/>
      </w:pPr>
      <w:r w:rsidRPr="00E16CDE">
        <w:t>damage to or severing of nerves or blood vessels, such as palatine artery, including haemorrhage</w:t>
      </w:r>
    </w:p>
    <w:p w:rsidR="00000000" w:rsidRPr="00E16CDE" w:rsidP="00E16CDE">
      <w:pPr>
        <w:pStyle w:val="ListBullet2"/>
      </w:pPr>
      <w:r w:rsidRPr="00E16CDE">
        <w:t>lacerated oral ti</w:t>
      </w:r>
      <w:r w:rsidRPr="00E16CDE">
        <w:t>ssues, fracture of teeth or of the bones of the maxilla and mandible</w:t>
      </w:r>
    </w:p>
    <w:p w:rsidR="00000000" w:rsidRPr="00E16CDE" w:rsidP="00E16CDE">
      <w:pPr>
        <w:pStyle w:val="ListBullet2"/>
      </w:pPr>
      <w:r w:rsidRPr="00E16CDE">
        <w:t>pulpitis or pulp necrosis (tooth death) due to pulp exposure, or near exposure, or thermal or mechanical damage</w:t>
      </w:r>
    </w:p>
    <w:p w:rsidR="00000000" w:rsidRPr="00E16CDE" w:rsidP="00E16CDE">
      <w:pPr>
        <w:pStyle w:val="ListBullet2"/>
      </w:pPr>
      <w:r w:rsidRPr="00E16CDE">
        <w:t xml:space="preserve">compromised integrity and functional anatomy of the teeth </w:t>
      </w:r>
    </w:p>
    <w:p w:rsidR="00000000" w:rsidRPr="00E16CDE" w:rsidP="00E16CDE">
      <w:pPr>
        <w:pStyle w:val="ListBullet2"/>
      </w:pPr>
      <w:r w:rsidRPr="00E16CDE">
        <w:t>need to refer to</w:t>
      </w:r>
      <w:r w:rsidRPr="00E16CDE">
        <w:t xml:space="preserve"> a colleague, including veterinarians, when appropriate</w:t>
      </w:r>
    </w:p>
    <w:p w:rsidR="00000000" w:rsidRPr="00E16CDE" w:rsidP="00E16CDE">
      <w:pPr>
        <w:pStyle w:val="ListBullet"/>
      </w:pPr>
      <w:r w:rsidRPr="00E16CDE">
        <w:t xml:space="preserve">safe work practices, including safe horse handling techniques </w:t>
      </w:r>
    </w:p>
    <w:p w:rsidR="00000000" w:rsidRPr="00E16CDE" w:rsidP="00E16CDE">
      <w:pPr>
        <w:pStyle w:val="ListBullet"/>
      </w:pPr>
      <w:r w:rsidRPr="00E16CDE">
        <w:t>key requirements of hygiene and biosecurity procedures, relevant to:</w:t>
      </w:r>
    </w:p>
    <w:p w:rsidR="00000000" w:rsidRPr="00E16CDE" w:rsidP="00E16CDE">
      <w:pPr>
        <w:pStyle w:val="ListBullet2"/>
      </w:pPr>
      <w:r w:rsidRPr="00E16CDE">
        <w:t>personal hygiene and personal protective equipment (PPE)</w:t>
      </w:r>
    </w:p>
    <w:p w:rsidR="00000000" w:rsidRPr="00E16CDE" w:rsidP="00E16CDE">
      <w:pPr>
        <w:pStyle w:val="ListBullet2"/>
      </w:pPr>
      <w:r w:rsidRPr="00E16CDE">
        <w:t>cleaning, disinfection or sterilisation of equipment and materials</w:t>
      </w:r>
    </w:p>
    <w:p w:rsidR="00000000" w:rsidRPr="00E16CDE" w:rsidP="00E16CDE">
      <w:pPr>
        <w:pStyle w:val="ListBullet2"/>
      </w:pPr>
      <w:r w:rsidRPr="00E16CDE">
        <w:t>safe biological and general waste disposal</w:t>
      </w:r>
    </w:p>
    <w:p w:rsidR="00000000" w:rsidRPr="00E16CDE" w:rsidP="00E16CDE">
      <w:pPr>
        <w:pStyle w:val="ListBullet2"/>
      </w:pPr>
      <w:r w:rsidRPr="00E16CDE">
        <w:t>equine infectious disease, notifiable diseases and quarantine procedures.</w:t>
      </w:r>
    </w:p>
    <w:p w:rsidR="00000000" w:rsidRPr="00E16CDE" w:rsidP="00E16CDE">
      <w:pPr>
        <w:pStyle w:val="AllowPageBreak"/>
      </w:pPr>
    </w:p>
    <w:p w:rsidR="00000000" w:rsidRPr="00E16CDE" w:rsidP="00E16CDE">
      <w:pPr>
        <w:pStyle w:val="Heading1"/>
      </w:pPr>
      <w:bookmarkStart w:id="4" w:name="O_1210480"/>
      <w:bookmarkEnd w:id="4"/>
      <w:r w:rsidRPr="00E16CDE">
        <w:t>Assessment Conditions</w:t>
      </w:r>
    </w:p>
    <w:p w:rsidR="00000000" w:rsidRPr="00E16CDE" w:rsidP="009F3947">
      <w:pPr>
        <w:pStyle w:val="BodyText"/>
      </w:pPr>
      <w:r w:rsidRPr="00E16CDE">
        <w:t>Assessment of the skills in thi</w:t>
      </w:r>
      <w:r w:rsidRPr="00E16CDE">
        <w:t>s unit of competency must take place under the following conditions:</w:t>
      </w:r>
    </w:p>
    <w:p w:rsidR="00000000" w:rsidRPr="00E16CDE" w:rsidP="00E16CDE">
      <w:pPr>
        <w:pStyle w:val="ListBullet"/>
      </w:pPr>
      <w:r w:rsidRPr="00E16CDE">
        <w:t>physical conditions:</w:t>
      </w:r>
    </w:p>
    <w:p w:rsidR="00000000" w:rsidRPr="00E16CDE" w:rsidP="00E16CDE">
      <w:pPr>
        <w:pStyle w:val="ListBullet2"/>
      </w:pPr>
      <w:r w:rsidRPr="00E16CDE">
        <w:t>an equine workplace or a simulated environment that accurately represents workplace conditions</w:t>
      </w:r>
    </w:p>
    <w:p w:rsidR="00000000" w:rsidRPr="00E16CDE" w:rsidP="00E16CDE">
      <w:pPr>
        <w:pStyle w:val="ListBullet"/>
      </w:pPr>
      <w:r w:rsidRPr="00E16CDE">
        <w:t>resources, equipment and materials:</w:t>
      </w:r>
    </w:p>
    <w:p w:rsidR="00000000" w:rsidRPr="00E16CDE" w:rsidP="00E16CDE">
      <w:pPr>
        <w:pStyle w:val="ListBullet2"/>
      </w:pPr>
      <w:r w:rsidRPr="00E16CDE">
        <w:t>various live equines of differe</w:t>
      </w:r>
      <w:r w:rsidRPr="00E16CDE">
        <w:t>nt ages on different diets, assessed for suitability for skill level being assessed and safety of handler and equine</w:t>
      </w:r>
    </w:p>
    <w:p w:rsidR="00000000" w:rsidRPr="00E16CDE" w:rsidP="00E16CDE">
      <w:pPr>
        <w:pStyle w:val="ListBullet2"/>
      </w:pPr>
      <w:r w:rsidRPr="00E16CDE">
        <w:t>PPE correctly fitted for the individual</w:t>
      </w:r>
    </w:p>
    <w:p w:rsidR="00000000" w:rsidRPr="00E16CDE" w:rsidP="00E16CDE">
      <w:pPr>
        <w:pStyle w:val="ListBullet2"/>
      </w:pPr>
      <w:r w:rsidRPr="00E16CDE">
        <w:t>appropriate gear and restraints for live equine examination, as required.</w:t>
      </w:r>
    </w:p>
    <w:p w:rsidR="00000000" w:rsidRPr="00E16CDE" w:rsidP="00E16CDE">
      <w:pPr>
        <w:pStyle w:val="BodyText"/>
      </w:pPr>
    </w:p>
    <w:p w:rsidR="00000000" w:rsidRPr="00E16CDE" w:rsidP="009F3947">
      <w:pPr>
        <w:pStyle w:val="BodyText"/>
      </w:pPr>
      <w:r w:rsidRPr="00E16CDE">
        <w:t>Two Companion Volumes are available:</w:t>
      </w:r>
    </w:p>
    <w:p w:rsidR="00000000" w:rsidRPr="00E16CDE" w:rsidP="00E16CDE">
      <w:pPr>
        <w:pStyle w:val="ListBullet"/>
      </w:pPr>
      <w:r w:rsidRPr="00E16CDE">
        <w:rPr>
          <w:rStyle w:val="Emphasis"/>
        </w:rPr>
        <w:t>Companion Volume:</w:t>
      </w:r>
      <w:r w:rsidRPr="00E16CDE">
        <w:t xml:space="preserve"> </w:t>
      </w:r>
      <w:r w:rsidRPr="00E16CDE">
        <w:rPr>
          <w:rStyle w:val="Emphasis"/>
        </w:rPr>
        <w:t>User Guide: Equine Allied Health</w:t>
      </w:r>
      <w:r w:rsidRPr="00E16CDE">
        <w:t xml:space="preserve"> provides delivery and assessment information tailored for equine dental technicians, and detailed guidelines relating to anatomical requirements and industry expectati</w:t>
      </w:r>
      <w:r w:rsidRPr="00E16CDE">
        <w:t>ons</w:t>
      </w:r>
    </w:p>
    <w:p w:rsidR="00000000" w:rsidRPr="00E16CDE" w:rsidP="00E16CDE">
      <w:pPr>
        <w:pStyle w:val="ListBullet"/>
      </w:pPr>
      <w:r w:rsidRPr="00E16CDE">
        <w:t xml:space="preserve">Companion Volume: </w:t>
      </w:r>
      <w:r w:rsidRPr="00E16CDE">
        <w:rPr>
          <w:rStyle w:val="Emphasis"/>
        </w:rPr>
        <w:t>User Guide: Safety in Equine Training</w:t>
      </w:r>
      <w:r w:rsidRPr="00E16CDE">
        <w:t xml:space="preserve"> provides advice and sample templates to assist assessors with the risk assessments that should be undertaken to help ensure the safety of all involved in the assessment.</w:t>
      </w:r>
    </w:p>
    <w:p w:rsidR="00000000" w:rsidRPr="00E16CDE" w:rsidP="009F3947">
      <w:pPr>
        <w:pStyle w:val="BodyText"/>
      </w:pPr>
      <w:r w:rsidRPr="00E16CDE">
        <w:t>Assessors of this unit mus</w:t>
      </w:r>
      <w:r w:rsidRPr="00E16CDE">
        <w:t>t satisfy the requirements for assessors in applicable vocational education and training legislation, frameworks and/or standards.</w:t>
      </w:r>
    </w:p>
    <w:p w:rsidR="00000000" w:rsidRPr="00E16CDE" w:rsidP="00E16CDE">
      <w:pPr>
        <w:pStyle w:val="Heading1"/>
      </w:pPr>
      <w:bookmarkStart w:id="5" w:name="O_1210483"/>
      <w:bookmarkEnd w:id="5"/>
      <w:r w:rsidRPr="00E16CDE">
        <w:t>Links</w:t>
      </w:r>
    </w:p>
    <w:p w:rsidR="00000000" w:rsidRPr="00E16CDE" w:rsidP="009F3947">
      <w:pPr>
        <w:pStyle w:val="BodyText"/>
      </w:pPr>
      <w:r w:rsidRPr="00E16C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1328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16CDE" w:rsidP="00E16CDE"/>
    <w:sectPr w:rsidSect="00E16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DE" w:rsidRPr="009F3947" w:rsidP="009F3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47" w:rsidP="00E16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947" w:rsidP="00E16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3947" w:rsidP="00E16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CDE" w:rsidRPr="009F3947" w:rsidP="009F3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47" w:rsidRPr="002D2AF8" w:rsidP="00E16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ACMEQD501 Relate equine masticatory system to oral function, conditions and their health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F3947" w:rsidP="00E16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26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2E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E2A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CDE"/>
  </w:style>
  <w:style w:type="character" w:customStyle="1" w:styleId="Heading1Char">
    <w:name w:val="Heading 1 Char"/>
    <w:basedOn w:val="DefaultParagraphFont"/>
    <w:link w:val="Heading1"/>
    <w:rsid w:val="00E16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C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C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CDE"/>
    <w:rPr>
      <w:i/>
    </w:rPr>
  </w:style>
  <w:style w:type="paragraph" w:customStyle="1" w:styleId="SuperHeading">
    <w:name w:val="SuperHeading"/>
    <w:basedOn w:val="Normal"/>
    <w:rsid w:val="00E16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6CDE"/>
    <w:rPr>
      <w:b/>
    </w:rPr>
  </w:style>
  <w:style w:type="character" w:customStyle="1" w:styleId="Heading2Char">
    <w:name w:val="Heading 2 Char"/>
    <w:basedOn w:val="DefaultParagraphFont"/>
    <w:link w:val="Heading2"/>
    <w:rsid w:val="00E16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CDE"/>
    <w:rPr>
      <w:b/>
      <w:spacing w:val="0"/>
    </w:rPr>
  </w:style>
  <w:style w:type="paragraph" w:customStyle="1" w:styleId="SuperTitle">
    <w:name w:val="SuperTitle"/>
    <w:basedOn w:val="Title"/>
    <w:rsid w:val="00E16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C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CDE"/>
  </w:style>
  <w:style w:type="paragraph" w:styleId="TableofFigures">
    <w:name w:val="table of figures"/>
    <w:basedOn w:val="Normal"/>
    <w:next w:val="Normal"/>
    <w:semiHidden/>
    <w:rsid w:val="00E16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C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CDE"/>
    <w:rPr>
      <w:rFonts w:ascii="Wingdings" w:hAnsi="Wingdings"/>
    </w:rPr>
  </w:style>
  <w:style w:type="paragraph" w:customStyle="1" w:styleId="TableHeading">
    <w:name w:val="Table Heading"/>
    <w:basedOn w:val="HeadingBase"/>
    <w:rsid w:val="00E16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CDE"/>
    <w:rPr>
      <w:color w:val="0033CC"/>
      <w:u w:val="none"/>
    </w:rPr>
  </w:style>
  <w:style w:type="paragraph" w:customStyle="1" w:styleId="BodyTextRight">
    <w:name w:val="Body Text Right"/>
    <w:basedOn w:val="BodyText"/>
    <w:rsid w:val="00E16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C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CDE"/>
    <w:rPr>
      <w:sz w:val="32"/>
    </w:rPr>
  </w:style>
  <w:style w:type="paragraph" w:customStyle="1" w:styleId="HeadingProcedure">
    <w:name w:val="Heading Procedure"/>
    <w:basedOn w:val="HeadingBase"/>
    <w:next w:val="Normal"/>
    <w:rsid w:val="00E16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CDE"/>
    <w:pPr>
      <w:spacing w:before="60" w:after="60"/>
    </w:pPr>
  </w:style>
  <w:style w:type="paragraph" w:styleId="ListContinue">
    <w:name w:val="List Continue"/>
    <w:basedOn w:val="List"/>
    <w:rsid w:val="00E16CDE"/>
    <w:pPr>
      <w:ind w:firstLine="0"/>
    </w:pPr>
  </w:style>
  <w:style w:type="paragraph" w:customStyle="1" w:styleId="ListNote">
    <w:name w:val="List Note"/>
    <w:basedOn w:val="List"/>
    <w:rsid w:val="00E16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CDE"/>
    <w:rPr>
      <w:rFonts w:ascii="Courier New" w:hAnsi="Courier New"/>
    </w:rPr>
  </w:style>
  <w:style w:type="paragraph" w:customStyle="1" w:styleId="NoteBullet">
    <w:name w:val="Note Bullet"/>
    <w:basedOn w:val="Note"/>
    <w:rsid w:val="00E16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C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CDE"/>
    <w:rPr>
      <w:b/>
      <w:smallCaps/>
    </w:rPr>
  </w:style>
  <w:style w:type="paragraph" w:customStyle="1" w:styleId="TableListNumber">
    <w:name w:val="Table List Number"/>
    <w:basedOn w:val="ListNumber"/>
    <w:rsid w:val="00E16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CDE"/>
    <w:pPr>
      <w:numPr>
        <w:numId w:val="9"/>
      </w:numPr>
    </w:pPr>
  </w:style>
  <w:style w:type="paragraph" w:customStyle="1" w:styleId="ListAlpha2">
    <w:name w:val="List Alpha 2"/>
    <w:basedOn w:val="List2"/>
    <w:rsid w:val="00E16CDE"/>
    <w:pPr>
      <w:numPr>
        <w:numId w:val="8"/>
      </w:numPr>
    </w:pPr>
  </w:style>
  <w:style w:type="paragraph" w:styleId="List2">
    <w:name w:val="List 2"/>
    <w:basedOn w:val="BodyText"/>
    <w:rsid w:val="00E16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C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C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CDE"/>
    <w:pPr>
      <w:numPr>
        <w:numId w:val="4"/>
      </w:numPr>
    </w:pPr>
  </w:style>
  <w:style w:type="paragraph" w:styleId="ListContinue2">
    <w:name w:val="List Continue 2"/>
    <w:basedOn w:val="List2"/>
    <w:rsid w:val="00E16CDE"/>
    <w:pPr>
      <w:ind w:firstLine="0"/>
    </w:pPr>
  </w:style>
  <w:style w:type="paragraph" w:styleId="ListContinue3">
    <w:name w:val="List Continue 3"/>
    <w:basedOn w:val="List3"/>
    <w:rsid w:val="00E16CDE"/>
    <w:pPr>
      <w:ind w:left="1021" w:firstLine="0"/>
    </w:pPr>
  </w:style>
  <w:style w:type="paragraph" w:styleId="ListContinue4">
    <w:name w:val="List Continue 4"/>
    <w:basedOn w:val="List4"/>
    <w:rsid w:val="00E16CDE"/>
    <w:pPr>
      <w:ind w:firstLine="0"/>
    </w:pPr>
  </w:style>
  <w:style w:type="paragraph" w:styleId="ListContinue5">
    <w:name w:val="List Continue 5"/>
    <w:basedOn w:val="List5"/>
    <w:rsid w:val="00E16CDE"/>
    <w:pPr>
      <w:ind w:firstLine="0"/>
    </w:pPr>
  </w:style>
  <w:style w:type="paragraph" w:styleId="ListNumber3">
    <w:name w:val="List Number 3"/>
    <w:basedOn w:val="List3"/>
    <w:rsid w:val="00E16CDE"/>
    <w:pPr>
      <w:numPr>
        <w:numId w:val="5"/>
      </w:numPr>
    </w:pPr>
  </w:style>
  <w:style w:type="paragraph" w:styleId="ListNumber4">
    <w:name w:val="List Number 4"/>
    <w:basedOn w:val="List4"/>
    <w:rsid w:val="00E16CDE"/>
    <w:pPr>
      <w:numPr>
        <w:numId w:val="6"/>
      </w:numPr>
    </w:pPr>
  </w:style>
  <w:style w:type="paragraph" w:styleId="ListNumber5">
    <w:name w:val="List Number 5"/>
    <w:basedOn w:val="List5"/>
    <w:rsid w:val="00E16CDE"/>
    <w:pPr>
      <w:numPr>
        <w:numId w:val="7"/>
      </w:numPr>
    </w:pPr>
  </w:style>
  <w:style w:type="paragraph" w:styleId="BlockText">
    <w:name w:val="Block Text"/>
    <w:basedOn w:val="Normal"/>
    <w:rsid w:val="00E16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CDE"/>
    <w:rPr>
      <w:sz w:val="16"/>
      <w:vertAlign w:val="superscript"/>
    </w:rPr>
  </w:style>
  <w:style w:type="character" w:customStyle="1" w:styleId="Symbols">
    <w:name w:val="Symbols"/>
    <w:basedOn w:val="DefaultParagraphFont"/>
    <w:rsid w:val="00E16CDE"/>
    <w:rPr>
      <w:rFonts w:ascii="Symbol" w:hAnsi="Symbol"/>
    </w:rPr>
  </w:style>
  <w:style w:type="character" w:customStyle="1" w:styleId="MenuOptions">
    <w:name w:val="Menu Options"/>
    <w:basedOn w:val="DefaultParagraphFont"/>
    <w:rsid w:val="00E16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CDE"/>
    <w:rPr>
      <w:b/>
    </w:rPr>
  </w:style>
  <w:style w:type="character" w:customStyle="1" w:styleId="Underlined">
    <w:name w:val="Underlined"/>
    <w:basedOn w:val="DefaultParagraphFont"/>
    <w:rsid w:val="00E16CDE"/>
    <w:rPr>
      <w:u w:val="single"/>
    </w:rPr>
  </w:style>
  <w:style w:type="paragraph" w:customStyle="1" w:styleId="TableBodyTextRight">
    <w:name w:val="Table Body Text Right"/>
    <w:basedOn w:val="TableBodyText"/>
    <w:rsid w:val="00E16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CDE"/>
    <w:rPr>
      <w:sz w:val="18"/>
    </w:rPr>
  </w:style>
  <w:style w:type="paragraph" w:customStyle="1" w:styleId="BodySmallRight">
    <w:name w:val="Body Small Right"/>
    <w:basedOn w:val="BodyTextRight"/>
    <w:rsid w:val="00E16CDE"/>
    <w:rPr>
      <w:sz w:val="18"/>
      <w:szCs w:val="18"/>
    </w:rPr>
  </w:style>
  <w:style w:type="paragraph" w:customStyle="1" w:styleId="MarginEdition">
    <w:name w:val="Margin Edition"/>
    <w:basedOn w:val="MarginNote"/>
    <w:rsid w:val="00E16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CDE"/>
    <w:rPr>
      <w:sz w:val="2"/>
      <w:szCs w:val="2"/>
    </w:rPr>
  </w:style>
  <w:style w:type="character" w:customStyle="1" w:styleId="Small">
    <w:name w:val="Small"/>
    <w:basedOn w:val="DefaultParagraphFont"/>
    <w:rsid w:val="00E16CDE"/>
    <w:rPr>
      <w:sz w:val="16"/>
    </w:rPr>
  </w:style>
  <w:style w:type="paragraph" w:customStyle="1" w:styleId="WideTable">
    <w:name w:val="Wide Table"/>
    <w:basedOn w:val="Normal"/>
    <w:rsid w:val="00E16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CDE"/>
  </w:style>
  <w:style w:type="paragraph" w:styleId="Quote">
    <w:name w:val="Quote"/>
    <w:basedOn w:val="Heading1"/>
    <w:link w:val="QuoteChar"/>
    <w:qFormat/>
    <w:rsid w:val="00E16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CDE"/>
    <w:pPr>
      <w:pageBreakBefore/>
    </w:pPr>
  </w:style>
  <w:style w:type="paragraph" w:customStyle="1" w:styleId="Border">
    <w:name w:val="Border"/>
    <w:basedOn w:val="Normal"/>
    <w:qFormat/>
    <w:rsid w:val="00E16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CDE"/>
    <w:rPr>
      <w:u w:val="single"/>
    </w:rPr>
  </w:style>
  <w:style w:type="character" w:customStyle="1" w:styleId="BoldandItalics">
    <w:name w:val="Bold and Italics"/>
    <w:qFormat/>
    <w:rsid w:val="00E16CDE"/>
    <w:rPr>
      <w:b/>
      <w:i/>
      <w:u w:val="none"/>
    </w:rPr>
  </w:style>
  <w:style w:type="paragraph" w:styleId="BalloonText">
    <w:name w:val="Balloon Text"/>
    <w:basedOn w:val="Normal"/>
    <w:link w:val="BalloonTextChar"/>
    <w:rsid w:val="00E16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C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6211</Characters>
  <Application>Microsoft Office Word</Application>
  <DocSecurity>0</DocSecurity>
  <Lines>155</Lines>
  <Paragraphs>137</Paragraphs>
  <ScaleCrop>false</ScaleCrop>
  <Company>Author-it Software Corporation Ltd.</Company>
  <LinksUpToDate>false</LinksUpToDate>
  <CharactersWithSpaces>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ACMEQD501 Relate equine masticatory system to oral function, conditions and their health impacts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