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7F80" w:rsidP="00957F80">
      <w:pPr>
        <w:pStyle w:val="Title"/>
      </w:pPr>
      <w:r>
        <w:fldChar w:fldCharType="begin"/>
      </w:r>
      <w:r>
        <w:instrText xml:space="preserve"> TITLE   \* MERGEFORMAT </w:instrText>
      </w:r>
      <w:r>
        <w:fldChar w:fldCharType="separate"/>
      </w:r>
      <w:r>
        <w:t>Assessment Requirements for ACMEQD402 Determine equine oral function efficiency</w:t>
      </w:r>
      <w:r>
        <w:fldChar w:fldCharType="end"/>
      </w:r>
    </w:p>
    <w:p w:rsidR="00957F80" w:rsidP="00957F80">
      <w:pPr>
        <w:pStyle w:val="Version"/>
        <w:sectPr w:rsidSect="00B22E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2EFB" w:rsidP="00B22EFB">
      <w:pPr>
        <w:pStyle w:val="SuperHeading"/>
      </w:pPr>
      <w:r w:rsidRPr="00B22EFB">
        <w:t>Assessment Requirements for ACMEQD402 Determine equine oral function efficiency</w:t>
      </w:r>
    </w:p>
    <w:p w:rsidR="00000000" w:rsidRPr="00B22EFB" w:rsidP="00B22EFB">
      <w:pPr>
        <w:pStyle w:val="Heading1"/>
      </w:pPr>
      <w:bookmarkStart w:id="1" w:name="O_860419"/>
      <w:bookmarkEnd w:id="1"/>
      <w:r w:rsidRPr="00B22EFB">
        <w:t>Modification History</w:t>
      </w:r>
    </w:p>
    <w:tbl>
      <w:tblPr>
        <w:tblW w:w="9468" w:type="dxa"/>
        <w:tblLayout w:type="fixed"/>
        <w:tblCellMar>
          <w:left w:w="62" w:type="dxa"/>
          <w:right w:w="62" w:type="dxa"/>
        </w:tblCellMar>
        <w:tblLook w:val="0000"/>
      </w:tblPr>
      <w:tblGrid>
        <w:gridCol w:w="2569"/>
        <w:gridCol w:w="6899"/>
      </w:tblGrid>
      <w:tr w:rsidTr="00B22EFB">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EFB" w:rsidP="00B22EFB">
            <w:pPr>
              <w:pStyle w:val="BodyText"/>
            </w:pPr>
            <w:r w:rsidRPr="00B22EFB">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EFB">
            <w:pPr>
              <w:pStyle w:val="BodyText"/>
              <w:rPr>
                <w:lang w:val="en-NZ"/>
              </w:rPr>
            </w:pPr>
            <w:r w:rsidRPr="00B22EFB">
              <w:rPr>
                <w:rStyle w:val="SpecialBold"/>
              </w:rPr>
              <w:t>Comments</w:t>
            </w:r>
          </w:p>
        </w:tc>
      </w:tr>
      <w:tr w:rsidTr="00B22EFB">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EFB">
            <w:pPr>
              <w:pStyle w:val="BodyText"/>
              <w:rPr>
                <w:lang w:val="en-NZ"/>
              </w:rPr>
            </w:pPr>
            <w:r w:rsidRPr="00B22EFB">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EFB" w:rsidP="00B22EFB">
            <w:pPr>
              <w:pStyle w:val="BodyText"/>
            </w:pPr>
            <w:r w:rsidRPr="00B22EFB">
              <w:t>This version released with ACM Animal Care and Management Training Package Version 1.0.</w:t>
            </w:r>
          </w:p>
        </w:tc>
      </w:tr>
    </w:tbl>
    <w:p w:rsidR="00000000" w:rsidRPr="00B22EFB" w:rsidP="00B22EFB">
      <w:pPr>
        <w:pStyle w:val="BodyText"/>
      </w:pPr>
    </w:p>
    <w:p w:rsidR="00000000" w:rsidRPr="00B22EFB" w:rsidP="00B22EFB">
      <w:pPr>
        <w:pStyle w:val="AllowPageBreak"/>
      </w:pPr>
    </w:p>
    <w:p w:rsidR="00000000" w:rsidRPr="00B22EFB" w:rsidP="00B22EFB">
      <w:pPr>
        <w:pStyle w:val="Heading1"/>
      </w:pPr>
      <w:bookmarkStart w:id="2" w:name="O_860420"/>
      <w:bookmarkEnd w:id="2"/>
      <w:r w:rsidRPr="00B22EFB">
        <w:t>Performance Evidence</w:t>
      </w:r>
    </w:p>
    <w:p w:rsidR="00000000" w:rsidRPr="00B22EFB" w:rsidP="00957F80">
      <w:pPr>
        <w:pStyle w:val="BodyText"/>
      </w:pPr>
      <w:r w:rsidRPr="00B22EFB">
        <w:t>An individual demonstrating competency must satisfy all the elements and performance criteria in this unit. There must be evidence that the individual has determined the oral function efficiency for at least six different horses on a v</w:t>
      </w:r>
      <w:r w:rsidRPr="00B22EFB">
        <w:t>ariety of diets and of different ages, including:</w:t>
      </w:r>
    </w:p>
    <w:p w:rsidR="00000000" w:rsidRPr="00B22EFB" w:rsidP="00B22EFB">
      <w:pPr>
        <w:pStyle w:val="ListBullet"/>
      </w:pPr>
      <w:r w:rsidRPr="00B22EFB">
        <w:t xml:space="preserve">locating and describing oral cavity features by name, location and function </w:t>
      </w:r>
    </w:p>
    <w:p w:rsidR="00000000" w:rsidRPr="00B22EFB" w:rsidP="00B22EFB">
      <w:pPr>
        <w:pStyle w:val="ListBullet"/>
      </w:pPr>
      <w:r w:rsidRPr="00B22EFB">
        <w:t>identifying lateral excursion, rostro-caudal movement and occlusion function</w:t>
      </w:r>
    </w:p>
    <w:p w:rsidR="00000000" w:rsidRPr="00B22EFB" w:rsidP="00B22EFB">
      <w:pPr>
        <w:pStyle w:val="ListBullet"/>
      </w:pPr>
      <w:r w:rsidRPr="00B22EFB">
        <w:t>determining the age of horses based on tooth develo</w:t>
      </w:r>
      <w:r w:rsidRPr="00B22EFB">
        <w:t>pment, wear, shape and incisor angulation</w:t>
      </w:r>
    </w:p>
    <w:p w:rsidR="00000000" w:rsidRPr="00B22EFB" w:rsidP="00B22EFB">
      <w:pPr>
        <w:pStyle w:val="ListBullet"/>
      </w:pPr>
      <w:r w:rsidRPr="00B22EFB">
        <w:t>using dental formulae and established terminology to describe and document tooth status and oral conditions</w:t>
      </w:r>
    </w:p>
    <w:p w:rsidR="00000000" w:rsidRPr="00B22EFB" w:rsidP="00B22EFB">
      <w:pPr>
        <w:pStyle w:val="ListBullet"/>
      </w:pPr>
      <w:r w:rsidRPr="00B22EFB">
        <w:t>performing the activities outlined in the performance criteria of this unit during, and contributing to, an overall period of at least 120 hours of work supervised by supervised by an equine dental service provider who is a dental association member and/or</w:t>
      </w:r>
      <w:r w:rsidRPr="00B22EFB">
        <w:t xml:space="preserve"> a qualified equine dental service provider and/or is currently commercially active in providing equine dental services.</w:t>
      </w:r>
    </w:p>
    <w:p w:rsidR="00000000" w:rsidRPr="00B22EFB" w:rsidP="00B22EFB">
      <w:pPr>
        <w:pStyle w:val="AllowPageBreak"/>
      </w:pPr>
    </w:p>
    <w:p w:rsidR="00000000" w:rsidRPr="00B22EFB" w:rsidP="00B22EFB">
      <w:pPr>
        <w:pStyle w:val="Heading1"/>
      </w:pPr>
      <w:bookmarkStart w:id="3" w:name="O_860421"/>
      <w:bookmarkEnd w:id="3"/>
      <w:r w:rsidRPr="00B22EFB">
        <w:t>Knowledge Evidence</w:t>
      </w:r>
    </w:p>
    <w:p w:rsidR="00000000" w:rsidRPr="00B22EFB" w:rsidP="00957F80">
      <w:pPr>
        <w:pStyle w:val="BodyText"/>
      </w:pPr>
      <w:r w:rsidRPr="00B22EFB">
        <w:t>An individual must be able to demonstrate the knowledge required to perform the tasks outlined in t</w:t>
      </w:r>
      <w:r w:rsidRPr="00B22EFB">
        <w:t>he elements and performance criteria of this unit. This includes knowledge of:</w:t>
      </w:r>
    </w:p>
    <w:p w:rsidR="00000000" w:rsidRPr="00B22EFB" w:rsidP="00B22EFB">
      <w:pPr>
        <w:pStyle w:val="ListBullet"/>
      </w:pPr>
      <w:r w:rsidRPr="00B22EFB">
        <w:t>principles and practices for determining equine oral function efficiency</w:t>
      </w:r>
    </w:p>
    <w:p w:rsidR="00000000" w:rsidRPr="00B22EFB" w:rsidP="00B22EFB">
      <w:pPr>
        <w:pStyle w:val="ListBullet"/>
      </w:pPr>
      <w:r w:rsidRPr="00B22EFB">
        <w:t>anatomy and physiology of the equine head and oral structures including:</w:t>
      </w:r>
    </w:p>
    <w:p w:rsidR="00000000" w:rsidRPr="00B22EFB" w:rsidP="00B22EFB">
      <w:pPr>
        <w:pStyle w:val="ListBullet2"/>
      </w:pPr>
      <w:r w:rsidRPr="00B22EFB">
        <w:t>detailed features and functio</w:t>
      </w:r>
      <w:r w:rsidRPr="00B22EFB">
        <w:t>ns of the equine head, mouth and teeth</w:t>
      </w:r>
    </w:p>
    <w:p w:rsidR="00000000" w:rsidRPr="00B22EFB" w:rsidP="00B22EFB">
      <w:pPr>
        <w:pStyle w:val="ListBullet2"/>
      </w:pPr>
      <w:r w:rsidRPr="00B22EFB">
        <w:t>soft tissues - lips, tongue, gums and cheeks</w:t>
      </w:r>
    </w:p>
    <w:p w:rsidR="00000000" w:rsidRPr="00B22EFB" w:rsidP="00B22EFB">
      <w:pPr>
        <w:pStyle w:val="ListBullet2"/>
      </w:pPr>
      <w:r w:rsidRPr="00B22EFB">
        <w:t>hard palate and palatine artery</w:t>
      </w:r>
    </w:p>
    <w:p w:rsidR="00000000" w:rsidRPr="00B22EFB" w:rsidP="00B22EFB">
      <w:pPr>
        <w:pStyle w:val="ListBullet2"/>
      </w:pPr>
      <w:r w:rsidRPr="00B22EFB">
        <w:t xml:space="preserve">periodontal structures </w:t>
      </w:r>
    </w:p>
    <w:p w:rsidR="00000000" w:rsidRPr="00B22EFB" w:rsidP="00B22EFB">
      <w:pPr>
        <w:pStyle w:val="ListBullet2"/>
      </w:pPr>
      <w:r w:rsidRPr="00B22EFB">
        <w:t>bone structures of the head</w:t>
      </w:r>
    </w:p>
    <w:p w:rsidR="00000000" w:rsidRPr="00B22EFB" w:rsidP="00B22EFB">
      <w:pPr>
        <w:pStyle w:val="ListBullet2"/>
      </w:pPr>
      <w:r w:rsidRPr="00B22EFB">
        <w:t xml:space="preserve">normal and abnormal functions </w:t>
      </w:r>
    </w:p>
    <w:p w:rsidR="00000000" w:rsidRPr="00B22EFB" w:rsidP="00B22EFB">
      <w:pPr>
        <w:pStyle w:val="ListBullet2"/>
      </w:pPr>
      <w:r w:rsidRPr="00B22EFB">
        <w:t>equine teeth and tooth types</w:t>
      </w:r>
    </w:p>
    <w:p w:rsidR="00000000" w:rsidRPr="00B22EFB" w:rsidP="00B22EFB">
      <w:pPr>
        <w:pStyle w:val="ListBullet2"/>
      </w:pPr>
      <w:r w:rsidRPr="00B22EFB">
        <w:t>incisors</w:t>
      </w:r>
    </w:p>
    <w:p w:rsidR="00000000" w:rsidRPr="00B22EFB" w:rsidP="00B22EFB">
      <w:pPr>
        <w:pStyle w:val="ListBullet2"/>
      </w:pPr>
      <w:r w:rsidRPr="00B22EFB">
        <w:t>canines</w:t>
      </w:r>
    </w:p>
    <w:p w:rsidR="00000000" w:rsidRPr="00B22EFB" w:rsidP="00B22EFB">
      <w:pPr>
        <w:pStyle w:val="ListBullet2"/>
      </w:pPr>
      <w:r w:rsidRPr="00B22EFB">
        <w:t>premolars (including wolf teeth)</w:t>
      </w:r>
    </w:p>
    <w:p w:rsidR="00000000" w:rsidRPr="00B22EFB" w:rsidP="00B22EFB">
      <w:pPr>
        <w:pStyle w:val="ListBullet2"/>
      </w:pPr>
      <w:r w:rsidRPr="00B22EFB">
        <w:t>molars</w:t>
      </w:r>
    </w:p>
    <w:p w:rsidR="00000000" w:rsidRPr="00B22EFB" w:rsidP="00B22EFB">
      <w:pPr>
        <w:pStyle w:val="ListBullet2"/>
      </w:pPr>
      <w:r w:rsidRPr="00B22EFB">
        <w:t>stages of tooth development, growth, wear and ageing</w:t>
      </w:r>
    </w:p>
    <w:p w:rsidR="00000000" w:rsidRPr="00B22EFB" w:rsidP="00B22EFB">
      <w:pPr>
        <w:pStyle w:val="ListBullet"/>
      </w:pPr>
      <w:r w:rsidRPr="00B22EFB">
        <w:t>classification of equine tooth types:</w:t>
      </w:r>
    </w:p>
    <w:p w:rsidR="00000000" w:rsidRPr="00B22EFB" w:rsidP="00B22EFB">
      <w:pPr>
        <w:pStyle w:val="ListBullet2"/>
      </w:pPr>
      <w:r w:rsidRPr="00B22EFB">
        <w:t>Triadan system nomenclature</w:t>
      </w:r>
    </w:p>
    <w:p w:rsidR="00000000" w:rsidRPr="00B22EFB" w:rsidP="00B22EFB">
      <w:pPr>
        <w:pStyle w:val="ListBullet2"/>
      </w:pPr>
      <w:r w:rsidRPr="00B22EFB">
        <w:t>anatomical nomenclature</w:t>
      </w:r>
    </w:p>
    <w:p w:rsidR="00000000" w:rsidRPr="00B22EFB" w:rsidP="00B22EFB">
      <w:pPr>
        <w:pStyle w:val="ListBullet2"/>
      </w:pPr>
      <w:r w:rsidRPr="00B22EFB">
        <w:t>type and timing of eruption</w:t>
      </w:r>
    </w:p>
    <w:p w:rsidR="00000000" w:rsidRPr="00B22EFB" w:rsidP="00B22EFB">
      <w:pPr>
        <w:pStyle w:val="ListBullet2"/>
      </w:pPr>
      <w:r w:rsidRPr="00B22EFB">
        <w:t>deciduous</w:t>
      </w:r>
    </w:p>
    <w:p w:rsidR="00000000" w:rsidRPr="00B22EFB" w:rsidP="00B22EFB">
      <w:pPr>
        <w:pStyle w:val="ListBullet2"/>
      </w:pPr>
      <w:r w:rsidRPr="00B22EFB">
        <w:t>permanent</w:t>
      </w:r>
    </w:p>
    <w:p w:rsidR="00000000" w:rsidRPr="00B22EFB" w:rsidP="00B22EFB">
      <w:pPr>
        <w:pStyle w:val="ListBullet"/>
      </w:pPr>
      <w:r w:rsidRPr="00B22EFB">
        <w:t>structures of equine t</w:t>
      </w:r>
      <w:r w:rsidRPr="00B22EFB">
        <w:t xml:space="preserve">eeth and periodontal structures: </w:t>
      </w:r>
    </w:p>
    <w:p w:rsidR="00000000" w:rsidRPr="00B22EFB" w:rsidP="00B22EFB">
      <w:pPr>
        <w:pStyle w:val="ListBullet2"/>
      </w:pPr>
      <w:r w:rsidRPr="00B22EFB">
        <w:t>apical foramen</w:t>
      </w:r>
    </w:p>
    <w:p w:rsidR="00000000" w:rsidRPr="00B22EFB" w:rsidP="00B22EFB">
      <w:pPr>
        <w:pStyle w:val="ListBullet2"/>
      </w:pPr>
      <w:r w:rsidRPr="00B22EFB">
        <w:t>alveolus (socket) periodontal ligament</w:t>
      </w:r>
    </w:p>
    <w:p w:rsidR="00000000" w:rsidRPr="00B22EFB" w:rsidP="00B22EFB">
      <w:pPr>
        <w:pStyle w:val="ListBullet2"/>
      </w:pPr>
      <w:r w:rsidRPr="00B22EFB">
        <w:t>cementum, dentine and enamel</w:t>
      </w:r>
    </w:p>
    <w:p w:rsidR="00000000" w:rsidRPr="00B22EFB" w:rsidP="00B22EFB">
      <w:pPr>
        <w:pStyle w:val="ListBullet2"/>
      </w:pPr>
      <w:r w:rsidRPr="00B22EFB">
        <w:t>root and crown, infundibulum</w:t>
      </w:r>
    </w:p>
    <w:p w:rsidR="00000000" w:rsidRPr="00B22EFB" w:rsidP="00B22EFB">
      <w:pPr>
        <w:pStyle w:val="ListBullet2"/>
      </w:pPr>
      <w:r w:rsidRPr="00B22EFB">
        <w:t>pulp canals (or chamber) nerves, vessels and structures</w:t>
      </w:r>
    </w:p>
    <w:p w:rsidR="00000000" w:rsidRPr="00B22EFB" w:rsidP="00B22EFB">
      <w:pPr>
        <w:pStyle w:val="ListBullet"/>
      </w:pPr>
      <w:r w:rsidRPr="00B22EFB">
        <w:t>stages of development and eruption of teeth, including:</w:t>
      </w:r>
    </w:p>
    <w:p w:rsidR="00000000" w:rsidRPr="00B22EFB" w:rsidP="00B22EFB">
      <w:pPr>
        <w:pStyle w:val="ListBullet2"/>
      </w:pPr>
      <w:r w:rsidRPr="00B22EFB">
        <w:t>bud, cap and bell stages</w:t>
      </w:r>
    </w:p>
    <w:p w:rsidR="00000000" w:rsidRPr="00B22EFB" w:rsidP="00B22EFB">
      <w:pPr>
        <w:pStyle w:val="ListBullet2"/>
      </w:pPr>
      <w:r w:rsidRPr="00B22EFB">
        <w:t>apposition and calcification of enamel and dentine</w:t>
      </w:r>
    </w:p>
    <w:p w:rsidR="00000000" w:rsidRPr="00B22EFB" w:rsidP="00B22EFB">
      <w:pPr>
        <w:pStyle w:val="ListBullet2"/>
      </w:pPr>
      <w:r w:rsidRPr="00B22EFB">
        <w:t>attrition (wear)</w:t>
      </w:r>
    </w:p>
    <w:p w:rsidR="00000000" w:rsidRPr="00B22EFB" w:rsidP="00B22EFB">
      <w:pPr>
        <w:pStyle w:val="ListBullet"/>
      </w:pPr>
      <w:r w:rsidRPr="00B22EFB">
        <w:t>abnormalities of development and eruption:</w:t>
      </w:r>
    </w:p>
    <w:p w:rsidR="00000000" w:rsidRPr="00B22EFB" w:rsidP="00B22EFB">
      <w:pPr>
        <w:pStyle w:val="ListBullet2"/>
      </w:pPr>
      <w:r w:rsidRPr="00B22EFB">
        <w:t>absence of teeth (oligodontia)</w:t>
      </w:r>
    </w:p>
    <w:p w:rsidR="00000000" w:rsidRPr="00B22EFB" w:rsidP="00B22EFB">
      <w:pPr>
        <w:pStyle w:val="ListBullet2"/>
      </w:pPr>
      <w:r w:rsidRPr="00B22EFB">
        <w:t>supernumerary teeth</w:t>
      </w:r>
    </w:p>
    <w:p w:rsidR="00000000" w:rsidRPr="00B22EFB" w:rsidP="00B22EFB">
      <w:pPr>
        <w:pStyle w:val="ListBullet2"/>
      </w:pPr>
      <w:r w:rsidRPr="00B22EFB">
        <w:t>underdevel</w:t>
      </w:r>
      <w:r w:rsidRPr="00B22EFB">
        <w:t>opment of cementum or enamel (hypoplasia)</w:t>
      </w:r>
    </w:p>
    <w:p w:rsidR="00000000" w:rsidRPr="00B22EFB" w:rsidP="00B22EFB">
      <w:pPr>
        <w:pStyle w:val="ListBullet2"/>
      </w:pPr>
      <w:r w:rsidRPr="00B22EFB">
        <w:t>overdevelopment of cementum or enamel (hyperplasia, hypercementosis)</w:t>
      </w:r>
    </w:p>
    <w:p w:rsidR="00000000" w:rsidRPr="00B22EFB" w:rsidP="00B22EFB">
      <w:pPr>
        <w:pStyle w:val="ListBullet2"/>
      </w:pPr>
      <w:r w:rsidRPr="00B22EFB">
        <w:t>dentigerous cysts</w:t>
      </w:r>
    </w:p>
    <w:p w:rsidR="00000000" w:rsidRPr="00B22EFB" w:rsidP="00B22EFB">
      <w:pPr>
        <w:pStyle w:val="ListBullet2"/>
      </w:pPr>
      <w:r w:rsidRPr="00B22EFB">
        <w:t>super-eruption (including of unopposed teeth)</w:t>
      </w:r>
    </w:p>
    <w:p w:rsidR="00000000" w:rsidRPr="00B22EFB" w:rsidP="00B22EFB">
      <w:pPr>
        <w:pStyle w:val="ListBullet2"/>
      </w:pPr>
      <w:r w:rsidRPr="00B22EFB">
        <w:t>impaction (failure of tooth to erupt)</w:t>
      </w:r>
    </w:p>
    <w:p w:rsidR="00000000" w:rsidRPr="00B22EFB" w:rsidP="00B22EFB">
      <w:pPr>
        <w:pStyle w:val="ListBullet2"/>
      </w:pPr>
      <w:r w:rsidRPr="00B22EFB">
        <w:t>lack of wear</w:t>
      </w:r>
    </w:p>
    <w:p w:rsidR="00000000" w:rsidRPr="00B22EFB" w:rsidP="00B22EFB">
      <w:pPr>
        <w:pStyle w:val="ListBullet2"/>
      </w:pPr>
      <w:r w:rsidRPr="00B22EFB">
        <w:t>parrotmouth, overbite, overjet</w:t>
      </w:r>
      <w:r w:rsidRPr="00B22EFB">
        <w:t xml:space="preserve"> (brachygnathism)</w:t>
      </w:r>
    </w:p>
    <w:p w:rsidR="00000000" w:rsidRPr="00B22EFB" w:rsidP="00B22EFB">
      <w:pPr>
        <w:pStyle w:val="ListBullet2"/>
      </w:pPr>
      <w:r w:rsidRPr="00B22EFB">
        <w:t>sow mouth, monkey mouth (maxillary brachygnathism or mesiocclusion)</w:t>
      </w:r>
    </w:p>
    <w:p w:rsidR="00000000" w:rsidRPr="00B22EFB" w:rsidP="00B22EFB">
      <w:pPr>
        <w:pStyle w:val="ListBullet2"/>
      </w:pPr>
      <w:r w:rsidRPr="00B22EFB">
        <w:t>wry mouth (campylorrhinus lateralis)</w:t>
      </w:r>
    </w:p>
    <w:p w:rsidR="00000000" w:rsidRPr="00B22EFB" w:rsidP="00B22EFB">
      <w:pPr>
        <w:pStyle w:val="ListBullet"/>
      </w:pPr>
      <w:r w:rsidRPr="00B22EFB">
        <w:t>stages of equine dental eruption and age indicators:</w:t>
      </w:r>
    </w:p>
    <w:p w:rsidR="00000000" w:rsidRPr="00B22EFB" w:rsidP="00B22EFB">
      <w:pPr>
        <w:pStyle w:val="ListBullet2"/>
      </w:pPr>
      <w:r w:rsidRPr="00B22EFB">
        <w:t>presence or absence of deciduous teeth</w:t>
      </w:r>
    </w:p>
    <w:p w:rsidR="00000000" w:rsidRPr="00B22EFB" w:rsidP="00B22EFB">
      <w:pPr>
        <w:pStyle w:val="ListBullet2"/>
      </w:pPr>
      <w:r w:rsidRPr="00B22EFB">
        <w:t>presence or absence of permanent teeth</w:t>
      </w:r>
    </w:p>
    <w:p w:rsidR="00000000" w:rsidRPr="00B22EFB" w:rsidP="00B22EFB">
      <w:pPr>
        <w:pStyle w:val="ListBullet2"/>
      </w:pPr>
      <w:r w:rsidRPr="00B22EFB">
        <w:t>presence or absence of infundibula</w:t>
      </w:r>
    </w:p>
    <w:p w:rsidR="00000000" w:rsidRPr="00B22EFB" w:rsidP="00B22EFB">
      <w:pPr>
        <w:pStyle w:val="ListBullet2"/>
      </w:pPr>
      <w:r w:rsidRPr="00B22EFB">
        <w:t>observation of teeth in wear</w:t>
      </w:r>
    </w:p>
    <w:p w:rsidR="00000000" w:rsidRPr="00B22EFB" w:rsidP="00B22EFB">
      <w:pPr>
        <w:pStyle w:val="ListBullet"/>
      </w:pPr>
      <w:r w:rsidRPr="00B22EFB">
        <w:t>masticatory processes:</w:t>
      </w:r>
    </w:p>
    <w:p w:rsidR="00000000" w:rsidRPr="00B22EFB" w:rsidP="00B22EFB">
      <w:pPr>
        <w:pStyle w:val="ListBullet2"/>
      </w:pPr>
      <w:r w:rsidRPr="00B22EFB">
        <w:t>biomechanics of the mandible and maxilla and the temporomandibular joint (TMJ)</w:t>
      </w:r>
    </w:p>
    <w:p w:rsidR="00000000" w:rsidRPr="00B22EFB" w:rsidP="00B22EFB">
      <w:pPr>
        <w:pStyle w:val="ListBullet2"/>
      </w:pPr>
      <w:r w:rsidRPr="00B22EFB">
        <w:t>feed manipulation and formation of food bolus</w:t>
      </w:r>
    </w:p>
    <w:p w:rsidR="00000000" w:rsidRPr="00B22EFB" w:rsidP="00B22EFB">
      <w:pPr>
        <w:pStyle w:val="ListBullet2"/>
      </w:pPr>
      <w:r w:rsidRPr="00B22EFB">
        <w:t>masticatory muscles, the tongue and saliva</w:t>
      </w:r>
    </w:p>
    <w:p w:rsidR="00000000" w:rsidRPr="00B22EFB" w:rsidP="00B22EFB">
      <w:pPr>
        <w:pStyle w:val="ListBullet2"/>
      </w:pPr>
      <w:r w:rsidRPr="00B22EFB">
        <w:t>rugae</w:t>
      </w:r>
    </w:p>
    <w:p w:rsidR="00000000" w:rsidRPr="00B22EFB" w:rsidP="00B22EFB">
      <w:pPr>
        <w:pStyle w:val="ListBullet2"/>
      </w:pPr>
      <w:r w:rsidRPr="00B22EFB">
        <w:t>teeth and their occlusal angles and ridges, the curve of Spee</w:t>
      </w:r>
    </w:p>
    <w:p w:rsidR="00000000" w:rsidRPr="00B22EFB" w:rsidP="00B22EFB">
      <w:pPr>
        <w:pStyle w:val="ListBullet"/>
      </w:pPr>
      <w:r w:rsidRPr="00B22EFB">
        <w:t xml:space="preserve">process of prehension, mastication and the role of normal oral function </w:t>
      </w:r>
    </w:p>
    <w:p w:rsidR="00000000" w:rsidRPr="00B22EFB" w:rsidP="00B22EFB">
      <w:pPr>
        <w:pStyle w:val="ListBullet"/>
      </w:pPr>
      <w:r w:rsidRPr="00B22EFB">
        <w:t>infectious and/or contagious disease prophylaxis, symptoms, infection control and biosecurity protocols</w:t>
      </w:r>
    </w:p>
    <w:p w:rsidR="00000000" w:rsidRPr="00B22EFB" w:rsidP="00B22EFB">
      <w:pPr>
        <w:pStyle w:val="ListBullet"/>
      </w:pPr>
      <w:r w:rsidRPr="00B22EFB">
        <w:t>animal</w:t>
      </w:r>
      <w:r w:rsidRPr="00B22EFB">
        <w:t xml:space="preserve"> welfare needs of equines</w:t>
      </w:r>
    </w:p>
    <w:p w:rsidR="00000000" w:rsidRPr="00B22EFB" w:rsidP="00B22EFB">
      <w:pPr>
        <w:pStyle w:val="ListBullet"/>
      </w:pPr>
      <w:r w:rsidRPr="00B22EFB">
        <w:t>relationship between equine dental anatomy and physiology</w:t>
      </w:r>
    </w:p>
    <w:p w:rsidR="00000000" w:rsidRPr="00B22EFB" w:rsidP="00B22EFB">
      <w:pPr>
        <w:pStyle w:val="ListBullet"/>
      </w:pPr>
      <w:r w:rsidRPr="00B22EFB">
        <w:t>legislation, regulations and codes of practice, including work health and safety, animal welfare and ethics, veterinary practices, restricted dental practices, drugs and po</w:t>
      </w:r>
      <w:r w:rsidRPr="00B22EFB">
        <w:t>isons legislation, and waste disposal</w:t>
      </w:r>
    </w:p>
    <w:p w:rsidR="00000000" w:rsidRPr="00B22EFB" w:rsidP="00B22EFB">
      <w:pPr>
        <w:pStyle w:val="ListBullet"/>
      </w:pPr>
      <w:r w:rsidRPr="00B22EFB">
        <w:t>workplace hygiene standards (including those of biosecurity) including: disinfectants, cleaning agents and techniques, cleaning and appropriate disinfection and/or sterilisation of equipment, materials and personal pro</w:t>
      </w:r>
      <w:r w:rsidRPr="00B22EFB">
        <w:t>tective equipment</w:t>
      </w:r>
    </w:p>
    <w:p w:rsidR="00000000" w:rsidRPr="00B22EFB" w:rsidP="00B22EFB">
      <w:pPr>
        <w:pStyle w:val="ListBullet"/>
      </w:pPr>
      <w:r w:rsidRPr="00B22EFB">
        <w:t>safe work practices including safe horse handling techniques and personal protective equipment (PPE).</w:t>
      </w:r>
    </w:p>
    <w:p w:rsidR="00000000" w:rsidRPr="00B22EFB" w:rsidP="00B22EFB">
      <w:pPr>
        <w:pStyle w:val="AllowPageBreak"/>
      </w:pPr>
    </w:p>
    <w:p w:rsidR="00000000" w:rsidRPr="00B22EFB" w:rsidP="00B22EFB">
      <w:pPr>
        <w:pStyle w:val="Heading1"/>
      </w:pPr>
      <w:bookmarkStart w:id="4" w:name="O_860422"/>
      <w:bookmarkEnd w:id="4"/>
      <w:r w:rsidRPr="00B22EFB">
        <w:t>Assessment Conditions</w:t>
      </w:r>
    </w:p>
    <w:p w:rsidR="00000000" w:rsidRPr="00B22EFB" w:rsidP="00957F80">
      <w:pPr>
        <w:pStyle w:val="BodyText"/>
      </w:pPr>
      <w:r w:rsidRPr="00B22EFB">
        <w:t xml:space="preserve">Assessment of skills must take place under the following conditions: </w:t>
      </w:r>
    </w:p>
    <w:p w:rsidR="00000000" w:rsidRPr="00B22EFB" w:rsidP="00B22EFB">
      <w:pPr>
        <w:pStyle w:val="ListBullet"/>
      </w:pPr>
      <w:r w:rsidRPr="00B22EFB">
        <w:t>physical conditions:</w:t>
      </w:r>
    </w:p>
    <w:p w:rsidR="00000000" w:rsidRPr="00B22EFB" w:rsidP="00B22EFB">
      <w:pPr>
        <w:pStyle w:val="ListBullet2"/>
      </w:pPr>
      <w:r w:rsidRPr="00B22EFB">
        <w:t>a wo</w:t>
      </w:r>
      <w:r w:rsidRPr="00B22EFB">
        <w:t>rkplace or simulated environment that accurately reflects performance in a real workplace setting</w:t>
      </w:r>
    </w:p>
    <w:p w:rsidR="00000000" w:rsidRPr="00B22EFB" w:rsidP="00B22EFB">
      <w:pPr>
        <w:pStyle w:val="ListBullet"/>
      </w:pPr>
      <w:r w:rsidRPr="00B22EFB">
        <w:t>resources, equipment and materials:</w:t>
      </w:r>
    </w:p>
    <w:p w:rsidR="00000000" w:rsidRPr="00B22EFB" w:rsidP="00B22EFB">
      <w:pPr>
        <w:pStyle w:val="ListBullet2"/>
      </w:pPr>
      <w:r w:rsidRPr="00B22EFB">
        <w:t>various equines of different ages on different diets assessed as suitable for the skill level of the individual</w:t>
      </w:r>
    </w:p>
    <w:p w:rsidR="00000000" w:rsidRPr="00B22EFB" w:rsidP="00B22EFB">
      <w:pPr>
        <w:pStyle w:val="ListBullet2"/>
      </w:pPr>
      <w:r w:rsidRPr="00B22EFB">
        <w:t>PPE corr</w:t>
      </w:r>
      <w:r w:rsidRPr="00B22EFB">
        <w:t>ectly fitted and applicable to activity for the individual</w:t>
      </w:r>
    </w:p>
    <w:p w:rsidR="00000000" w:rsidRPr="00B22EFB" w:rsidP="00B22EFB">
      <w:pPr>
        <w:pStyle w:val="ListBullet2"/>
      </w:pPr>
      <w:r w:rsidRPr="00B22EFB">
        <w:t xml:space="preserve">appropriate tack, materials and equipment to provide dental care and treatment for horses </w:t>
      </w:r>
    </w:p>
    <w:p w:rsidR="00000000" w:rsidRPr="00B22EFB" w:rsidP="00B22EFB">
      <w:pPr>
        <w:pStyle w:val="ListBullet"/>
      </w:pPr>
      <w:r w:rsidRPr="00B22EFB">
        <w:t>specifications:</w:t>
      </w:r>
    </w:p>
    <w:p w:rsidR="00000000" w:rsidRPr="00B22EFB" w:rsidP="00B22EFB">
      <w:pPr>
        <w:pStyle w:val="ListBullet2"/>
      </w:pPr>
      <w:r w:rsidRPr="00B22EFB">
        <w:t>legislation, regulations, codes of practice and standards relevant to equine dentistry or technology to access them.</w:t>
      </w:r>
    </w:p>
    <w:p w:rsidR="00000000" w:rsidRPr="00B22EFB" w:rsidP="00B22EFB">
      <w:pPr>
        <w:pStyle w:val="BodyText"/>
      </w:pPr>
    </w:p>
    <w:p w:rsidR="00000000" w:rsidRPr="00B22EFB" w:rsidP="00957F80">
      <w:pPr>
        <w:pStyle w:val="BodyText"/>
      </w:pPr>
      <w:r w:rsidRPr="00B22EFB">
        <w:t xml:space="preserve">Training and assessment strategies must show evidence of the use of guidance provided in the </w:t>
      </w:r>
      <w:r w:rsidRPr="00B22EFB">
        <w:rPr>
          <w:rStyle w:val="Emphasis"/>
        </w:rPr>
        <w:t>Companion Volume: User Guide: Safety in Equin</w:t>
      </w:r>
      <w:r w:rsidRPr="00B22EFB">
        <w:rPr>
          <w:rStyle w:val="Emphasis"/>
        </w:rPr>
        <w:t>e Training</w:t>
      </w:r>
      <w:r w:rsidRPr="00B22EFB">
        <w:t>.</w:t>
      </w:r>
    </w:p>
    <w:p w:rsidR="00000000" w:rsidRPr="00B22EFB" w:rsidP="00957F80">
      <w:pPr>
        <w:pStyle w:val="BodyText"/>
      </w:pPr>
      <w:r w:rsidRPr="00B22EFB">
        <w:t>Assessors of this unit must satisfy the requirements for assessors in applicable vocational education and training legislation, frameworks and/or standards.</w:t>
      </w:r>
    </w:p>
    <w:p w:rsidR="00000000" w:rsidRPr="00B22EFB" w:rsidP="00B22EFB">
      <w:pPr>
        <w:pStyle w:val="Heading1"/>
      </w:pPr>
      <w:bookmarkStart w:id="5" w:name="O_860425"/>
      <w:bookmarkEnd w:id="5"/>
      <w:r w:rsidRPr="00B22EFB">
        <w:t>Links</w:t>
      </w:r>
    </w:p>
    <w:p w:rsidR="00000000" w:rsidRPr="00B22EFB" w:rsidP="00957F80">
      <w:pPr>
        <w:pStyle w:val="BodyText"/>
      </w:pPr>
      <w:r w:rsidRPr="00B22EFB">
        <w:t>Companion Volumes, including Implementation Guides, are availabl</w:t>
      </w:r>
      <w:r w:rsidRPr="00B22EFB">
        <w:t xml:space="preserve">e at VETNet: - </w:t>
      </w:r>
      <w:r>
        <w:fldChar w:fldCharType="begin"/>
      </w:r>
      <w:r>
        <w:instrText xml:space="preserve"> HYPERLINK "https://vetnet.gov.au/Pages/TrainingDocs.aspx?q=b75f4b23-54c9-4cc9-a5db-d3502d154103" </w:instrText>
      </w:r>
      <w:r>
        <w:fldChar w:fldCharType="separate"/>
      </w:r>
      <w:r w:rsidRPr="00F5262C">
        <w:rPr>
          <w:rStyle w:val="Hyperlink"/>
        </w:rPr>
        <w:t>https://vetnet.gov.au/Pages/TrainingDocs.aspx?q=b75f4b23-54c9-4cc9-a5db-d3502d154103</w:t>
      </w:r>
      <w:r>
        <w:fldChar w:fldCharType="end"/>
      </w:r>
    </w:p>
    <w:p w:rsidR="00000000" w:rsidRPr="00B22EFB" w:rsidP="00B22EFB"/>
    <w:sectPr w:rsidSect="00B22E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E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EFB" w:rsidRPr="00957F80" w:rsidP="00957F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E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F80" w:rsidP="00B22E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7F80" w:rsidP="00B22EF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957F80" w:rsidP="00B22E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E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F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2EFB" w:rsidRPr="00957F80" w:rsidP="00957F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E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F80" w:rsidRPr="002D2AF8" w:rsidP="00B22EFB">
    <w:pPr>
      <w:pStyle w:val="Header"/>
      <w:framePr w:wrap="around"/>
    </w:pPr>
    <w:r>
      <w:fldChar w:fldCharType="begin"/>
    </w:r>
    <w:r>
      <w:instrText xml:space="preserve"> TITLE   \* MERGEFORMAT </w:instrText>
    </w:r>
    <w:r>
      <w:fldChar w:fldCharType="separate"/>
    </w:r>
    <w:r>
      <w:t>Assessment Requirements for ACMEQD402 Determine equine oral function efficiency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July 2021</w:t>
    </w:r>
    <w:r>
      <w:fldChar w:fldCharType="end"/>
    </w:r>
  </w:p>
  <w:p w:rsidR="00957F80" w:rsidP="00B22E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0471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5401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66C0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E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2EFB"/>
    <w:pPr>
      <w:spacing w:before="360" w:after="60"/>
      <w:outlineLvl w:val="0"/>
    </w:pPr>
    <w:rPr>
      <w:sz w:val="32"/>
    </w:rPr>
  </w:style>
  <w:style w:type="paragraph" w:styleId="Heading2">
    <w:name w:val="heading 2"/>
    <w:basedOn w:val="HeadingBase"/>
    <w:next w:val="BodyText"/>
    <w:link w:val="Heading2Char"/>
    <w:qFormat/>
    <w:rsid w:val="00B22EFB"/>
    <w:pPr>
      <w:keepLines/>
      <w:spacing w:before="240" w:after="120"/>
      <w:outlineLvl w:val="1"/>
    </w:pPr>
    <w:rPr>
      <w:sz w:val="28"/>
      <w:szCs w:val="40"/>
    </w:rPr>
  </w:style>
  <w:style w:type="paragraph" w:styleId="Heading3">
    <w:name w:val="heading 3"/>
    <w:basedOn w:val="HeadingBase"/>
    <w:next w:val="BodyText"/>
    <w:link w:val="Heading3Char"/>
    <w:qFormat/>
    <w:rsid w:val="00B22EFB"/>
    <w:pPr>
      <w:spacing w:before="180" w:after="120"/>
      <w:outlineLvl w:val="2"/>
    </w:pPr>
    <w:rPr>
      <w:spacing w:val="-10"/>
      <w:kern w:val="32"/>
    </w:rPr>
  </w:style>
  <w:style w:type="paragraph" w:styleId="Heading4">
    <w:name w:val="heading 4"/>
    <w:basedOn w:val="HeadingBase"/>
    <w:next w:val="BodyText"/>
    <w:link w:val="Heading4Char"/>
    <w:qFormat/>
    <w:rsid w:val="00B22EFB"/>
    <w:pPr>
      <w:spacing w:before="160" w:after="120"/>
      <w:outlineLvl w:val="3"/>
    </w:pPr>
    <w:rPr>
      <w:sz w:val="22"/>
    </w:rPr>
  </w:style>
  <w:style w:type="paragraph" w:styleId="Heading5">
    <w:name w:val="heading 5"/>
    <w:basedOn w:val="HeadingBase"/>
    <w:next w:val="Normal"/>
    <w:link w:val="Heading5Char"/>
    <w:qFormat/>
    <w:rsid w:val="00B22EFB"/>
    <w:pPr>
      <w:spacing w:before="80"/>
      <w:outlineLvl w:val="4"/>
    </w:pPr>
    <w:rPr>
      <w:color w:val="918585"/>
      <w:sz w:val="20"/>
    </w:rPr>
  </w:style>
  <w:style w:type="paragraph" w:styleId="Heading6">
    <w:name w:val="heading 6"/>
    <w:basedOn w:val="HeadingBase"/>
    <w:next w:val="Normal"/>
    <w:link w:val="Heading6Char"/>
    <w:qFormat/>
    <w:rsid w:val="00B22EFB"/>
    <w:pPr>
      <w:spacing w:before="60"/>
      <w:outlineLvl w:val="5"/>
    </w:pPr>
    <w:rPr>
      <w:color w:val="918585"/>
      <w:sz w:val="20"/>
    </w:rPr>
  </w:style>
  <w:style w:type="paragraph" w:styleId="Heading7">
    <w:name w:val="heading 7"/>
    <w:basedOn w:val="Normal"/>
    <w:next w:val="Normal"/>
    <w:link w:val="Heading7Char"/>
    <w:qFormat/>
    <w:rsid w:val="00B22EFB"/>
    <w:pPr>
      <w:ind w:left="720"/>
      <w:outlineLvl w:val="6"/>
    </w:pPr>
    <w:rPr>
      <w:i/>
    </w:rPr>
  </w:style>
  <w:style w:type="paragraph" w:styleId="Heading8">
    <w:name w:val="heading 8"/>
    <w:basedOn w:val="Normal"/>
    <w:next w:val="Normal"/>
    <w:link w:val="Heading8Char"/>
    <w:qFormat/>
    <w:rsid w:val="00B22EFB"/>
    <w:pPr>
      <w:ind w:left="720"/>
      <w:outlineLvl w:val="7"/>
    </w:pPr>
    <w:rPr>
      <w:i/>
    </w:rPr>
  </w:style>
  <w:style w:type="paragraph" w:styleId="Heading9">
    <w:name w:val="heading 9"/>
    <w:basedOn w:val="Normal"/>
    <w:next w:val="Normal"/>
    <w:link w:val="Heading9Char"/>
    <w:qFormat/>
    <w:rsid w:val="00B22EFB"/>
    <w:pPr>
      <w:ind w:left="720"/>
      <w:outlineLvl w:val="8"/>
    </w:pPr>
    <w:rPr>
      <w:i/>
    </w:rPr>
  </w:style>
  <w:style w:type="character" w:default="1" w:styleId="DefaultParagraphFont">
    <w:name w:val="Default Paragraph Font"/>
    <w:uiPriority w:val="1"/>
    <w:unhideWhenUsed/>
    <w:rsid w:val="00B22E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2EFB"/>
  </w:style>
  <w:style w:type="character" w:customStyle="1" w:styleId="Heading1Char">
    <w:name w:val="Heading 1 Char"/>
    <w:basedOn w:val="DefaultParagraphFont"/>
    <w:link w:val="Heading1"/>
    <w:rsid w:val="00B22EFB"/>
    <w:rPr>
      <w:rFonts w:ascii="Times New Roman" w:eastAsia="Times New Roman" w:hAnsi="Times New Roman" w:cs="Times New Roman"/>
      <w:b/>
      <w:sz w:val="32"/>
      <w:szCs w:val="20"/>
      <w:lang w:eastAsia="en-US"/>
    </w:rPr>
  </w:style>
  <w:style w:type="paragraph" w:styleId="BodyText">
    <w:name w:val="Body Text"/>
    <w:basedOn w:val="Normal"/>
    <w:link w:val="BodyTextChar"/>
    <w:rsid w:val="00B22E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2EFB"/>
    <w:rPr>
      <w:rFonts w:ascii="Times New Roman" w:eastAsia="Times New Roman" w:hAnsi="Times New Roman" w:cs="Times New Roman"/>
      <w:sz w:val="24"/>
      <w:lang w:eastAsia="en-US"/>
    </w:rPr>
  </w:style>
  <w:style w:type="paragraph" w:styleId="ListBullet">
    <w:name w:val="List Bullet"/>
    <w:basedOn w:val="List"/>
    <w:rsid w:val="00B22EFB"/>
    <w:pPr>
      <w:numPr>
        <w:numId w:val="12"/>
      </w:numPr>
      <w:tabs>
        <w:tab w:val="clear" w:pos="340"/>
      </w:tabs>
      <w:spacing w:before="40" w:after="40"/>
    </w:pPr>
  </w:style>
  <w:style w:type="character" w:customStyle="1" w:styleId="SpecialBold">
    <w:name w:val="Special Bold"/>
    <w:basedOn w:val="DefaultParagraphFont"/>
    <w:rsid w:val="00B22EFB"/>
    <w:rPr>
      <w:b/>
      <w:spacing w:val="0"/>
    </w:rPr>
  </w:style>
  <w:style w:type="paragraph" w:styleId="ListBullet2">
    <w:name w:val="List Bullet 2"/>
    <w:basedOn w:val="List2"/>
    <w:rsid w:val="00B22EFB"/>
    <w:pPr>
      <w:numPr>
        <w:numId w:val="13"/>
      </w:numPr>
      <w:tabs>
        <w:tab w:val="clear" w:pos="680"/>
      </w:tabs>
    </w:pPr>
  </w:style>
  <w:style w:type="character" w:styleId="Emphasis">
    <w:name w:val="Emphasis"/>
    <w:basedOn w:val="DefaultParagraphFont"/>
    <w:qFormat/>
    <w:rsid w:val="00B22EFB"/>
    <w:rPr>
      <w:i/>
    </w:rPr>
  </w:style>
  <w:style w:type="paragraph" w:customStyle="1" w:styleId="SuperHeading">
    <w:name w:val="SuperHeading"/>
    <w:basedOn w:val="Normal"/>
    <w:rsid w:val="00B22EFB"/>
    <w:pPr>
      <w:spacing w:before="240" w:after="120"/>
      <w:outlineLvl w:val="0"/>
    </w:pPr>
    <w:rPr>
      <w:rFonts w:ascii="Times New Roman" w:hAnsi="Times New Roman"/>
      <w:b/>
      <w:sz w:val="32"/>
    </w:rPr>
  </w:style>
  <w:style w:type="paragraph" w:customStyle="1" w:styleId="AllowPageBreak">
    <w:name w:val="AllowPageBreak"/>
    <w:rsid w:val="00B22E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2E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2E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2E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2E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2E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2E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2E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2EFB"/>
    <w:rPr>
      <w:rFonts w:ascii="Courier New" w:eastAsia="Times New Roman" w:hAnsi="Courier New" w:cs="Times New Roman"/>
      <w:i/>
      <w:szCs w:val="20"/>
      <w:lang w:eastAsia="en-US"/>
    </w:rPr>
  </w:style>
  <w:style w:type="paragraph" w:customStyle="1" w:styleId="HeadingBase">
    <w:name w:val="Heading Base"/>
    <w:rsid w:val="00B22E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2EFB"/>
    <w:pPr>
      <w:tabs>
        <w:tab w:val="right" w:leader="dot" w:pos="9072"/>
      </w:tabs>
      <w:ind w:left="567"/>
    </w:pPr>
    <w:rPr>
      <w:szCs w:val="22"/>
    </w:rPr>
  </w:style>
  <w:style w:type="paragraph" w:customStyle="1" w:styleId="TOCBase">
    <w:name w:val="TOC Base"/>
    <w:rsid w:val="00B22E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2EFB"/>
    <w:pPr>
      <w:tabs>
        <w:tab w:val="right" w:leader="dot" w:pos="9072"/>
      </w:tabs>
      <w:spacing w:before="40" w:after="40"/>
      <w:ind w:left="284"/>
    </w:pPr>
    <w:rPr>
      <w:rFonts w:ascii="Times New Roman" w:hAnsi="Times New Roman"/>
    </w:rPr>
  </w:style>
  <w:style w:type="paragraph" w:styleId="TOC1">
    <w:name w:val="toc 1"/>
    <w:basedOn w:val="TOCBase"/>
    <w:next w:val="Normal"/>
    <w:rsid w:val="00B22E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2E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2EFB"/>
    <w:rPr>
      <w:rFonts w:ascii="Times New Roman" w:eastAsia="Times New Roman" w:hAnsi="Times New Roman" w:cs="Times New Roman"/>
      <w:sz w:val="16"/>
      <w:lang w:eastAsia="en-US"/>
    </w:rPr>
  </w:style>
  <w:style w:type="paragraph" w:styleId="Title">
    <w:name w:val="Title"/>
    <w:basedOn w:val="HeadingBase"/>
    <w:link w:val="TitleChar"/>
    <w:qFormat/>
    <w:rsid w:val="00B22EFB"/>
    <w:pPr>
      <w:spacing w:before="5040"/>
      <w:jc w:val="center"/>
    </w:pPr>
    <w:rPr>
      <w:sz w:val="48"/>
      <w:szCs w:val="72"/>
      <w:lang w:val="en-US"/>
    </w:rPr>
  </w:style>
  <w:style w:type="character" w:customStyle="1" w:styleId="TitleChar">
    <w:name w:val="Title Char"/>
    <w:basedOn w:val="DefaultParagraphFont"/>
    <w:link w:val="Title"/>
    <w:rsid w:val="00B22E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2EFB"/>
    <w:pPr>
      <w:tabs>
        <w:tab w:val="left" w:pos="3600"/>
        <w:tab w:val="left" w:pos="3958"/>
      </w:tabs>
    </w:pPr>
  </w:style>
  <w:style w:type="paragraph" w:styleId="List">
    <w:name w:val="List"/>
    <w:basedOn w:val="BodyText"/>
    <w:next w:val="BodyText"/>
    <w:rsid w:val="00B22EFB"/>
    <w:pPr>
      <w:tabs>
        <w:tab w:val="left" w:pos="340"/>
      </w:tabs>
      <w:spacing w:before="60" w:after="60"/>
      <w:ind w:left="340" w:hanging="340"/>
    </w:pPr>
  </w:style>
  <w:style w:type="paragraph" w:customStyle="1" w:styleId="Note">
    <w:name w:val="Note"/>
    <w:basedOn w:val="BodyText"/>
    <w:rsid w:val="00B22E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2EFB"/>
    <w:pPr>
      <w:framePr w:wrap="auto" w:hAnchor="text" w:y="6049"/>
    </w:pPr>
    <w:rPr>
      <w:color w:val="000000"/>
      <w:sz w:val="40"/>
    </w:rPr>
  </w:style>
  <w:style w:type="paragraph" w:customStyle="1" w:styleId="TOCTitle">
    <w:name w:val="TOCTitle"/>
    <w:basedOn w:val="Heading1"/>
    <w:rsid w:val="00B22EFB"/>
    <w:pPr>
      <w:spacing w:after="240"/>
      <w:jc w:val="center"/>
      <w:outlineLvl w:val="9"/>
    </w:pPr>
    <w:rPr>
      <w:caps/>
    </w:rPr>
  </w:style>
  <w:style w:type="paragraph" w:customStyle="1" w:styleId="Version">
    <w:name w:val="Version"/>
    <w:rsid w:val="00B22E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2EFB"/>
    <w:pPr>
      <w:keepNext w:val="0"/>
      <w:tabs>
        <w:tab w:val="right" w:pos="4176"/>
      </w:tabs>
      <w:ind w:left="198" w:hanging="198"/>
    </w:pPr>
    <w:rPr>
      <w:rFonts w:ascii="Garamond" w:hAnsi="Garamond"/>
    </w:rPr>
  </w:style>
  <w:style w:type="paragraph" w:styleId="IndexHeading">
    <w:name w:val="index heading"/>
    <w:basedOn w:val="Normal"/>
    <w:next w:val="Index1"/>
    <w:semiHidden/>
    <w:rsid w:val="00B22EFB"/>
    <w:pPr>
      <w:spacing w:before="120" w:after="120"/>
    </w:pPr>
    <w:rPr>
      <w:rFonts w:ascii="Arial" w:hAnsi="Arial"/>
      <w:b/>
      <w:color w:val="918585"/>
      <w:sz w:val="24"/>
    </w:rPr>
  </w:style>
  <w:style w:type="paragraph" w:styleId="Header">
    <w:name w:val="header"/>
    <w:basedOn w:val="Normal"/>
    <w:link w:val="HeaderChar"/>
    <w:rsid w:val="00B22E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2EFB"/>
    <w:rPr>
      <w:rFonts w:ascii="Times New Roman" w:eastAsia="Times New Roman" w:hAnsi="Times New Roman" w:cs="Times New Roman"/>
      <w:sz w:val="16"/>
      <w:szCs w:val="20"/>
      <w:lang w:val="en-GB" w:eastAsia="en-US"/>
    </w:rPr>
  </w:style>
  <w:style w:type="paragraph" w:customStyle="1" w:styleId="Chapter">
    <w:name w:val="Chapter"/>
    <w:basedOn w:val="Normal"/>
    <w:rsid w:val="00B22EFB"/>
    <w:pPr>
      <w:spacing w:before="240"/>
    </w:pPr>
    <w:rPr>
      <w:rFonts w:ascii="Times New Roman" w:hAnsi="Times New Roman"/>
      <w:smallCaps/>
      <w:spacing w:val="80"/>
      <w:sz w:val="28"/>
    </w:rPr>
  </w:style>
  <w:style w:type="paragraph" w:customStyle="1" w:styleId="InChapter">
    <w:name w:val="InChapter"/>
    <w:basedOn w:val="Heading3"/>
    <w:rsid w:val="00B22EFB"/>
    <w:pPr>
      <w:spacing w:after="240"/>
      <w:outlineLvl w:val="9"/>
    </w:pPr>
    <w:rPr>
      <w:noProof/>
    </w:rPr>
  </w:style>
  <w:style w:type="paragraph" w:styleId="Index2">
    <w:name w:val="index 2"/>
    <w:basedOn w:val="Normal"/>
    <w:next w:val="Normal"/>
    <w:semiHidden/>
    <w:rsid w:val="00B22EFB"/>
    <w:pPr>
      <w:tabs>
        <w:tab w:val="right" w:pos="4176"/>
      </w:tabs>
      <w:ind w:left="568" w:hanging="284"/>
    </w:pPr>
    <w:rPr>
      <w:rFonts w:ascii="Garamond" w:hAnsi="Garamond"/>
    </w:rPr>
  </w:style>
  <w:style w:type="paragraph" w:customStyle="1" w:styleId="Byline">
    <w:name w:val="Byline"/>
    <w:rsid w:val="00B22E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2EFB"/>
    <w:pPr>
      <w:tabs>
        <w:tab w:val="clear" w:pos="3600"/>
        <w:tab w:val="clear" w:pos="3958"/>
      </w:tabs>
      <w:jc w:val="right"/>
    </w:pPr>
  </w:style>
  <w:style w:type="paragraph" w:styleId="Caption">
    <w:name w:val="caption"/>
    <w:basedOn w:val="BodyText"/>
    <w:next w:val="Normal"/>
    <w:qFormat/>
    <w:rsid w:val="00B22EFB"/>
    <w:pPr>
      <w:framePr w:w="2268" w:hSpace="181" w:vSpace="181" w:wrap="around" w:vAnchor="text" w:hAnchor="page" w:x="1135" w:y="285" w:anchorLock="1"/>
    </w:pPr>
    <w:rPr>
      <w:i/>
    </w:rPr>
  </w:style>
  <w:style w:type="paragraph" w:customStyle="1" w:styleId="MiniTOCTitle">
    <w:name w:val="MiniTOCTitle"/>
    <w:basedOn w:val="Heading4"/>
    <w:rsid w:val="00B22EFB"/>
    <w:pPr>
      <w:spacing w:before="240"/>
      <w:outlineLvl w:val="9"/>
    </w:pPr>
    <w:rPr>
      <w:noProof/>
      <w:sz w:val="24"/>
    </w:rPr>
  </w:style>
  <w:style w:type="paragraph" w:customStyle="1" w:styleId="MiniTOCItem">
    <w:name w:val="MiniTOCItem"/>
    <w:basedOn w:val="ListBullet"/>
    <w:rsid w:val="00B22EFB"/>
    <w:pPr>
      <w:numPr>
        <w:numId w:val="0"/>
      </w:numPr>
      <w:tabs>
        <w:tab w:val="right" w:leader="dot" w:pos="6521"/>
      </w:tabs>
      <w:spacing w:before="0" w:after="0"/>
    </w:pPr>
  </w:style>
  <w:style w:type="paragraph" w:customStyle="1" w:styleId="TOFTitle">
    <w:name w:val="TOFTitle"/>
    <w:basedOn w:val="TOCTitle"/>
    <w:rsid w:val="00B22EFB"/>
  </w:style>
  <w:style w:type="paragraph" w:styleId="TableofFigures">
    <w:name w:val="table of figures"/>
    <w:basedOn w:val="Normal"/>
    <w:next w:val="Normal"/>
    <w:semiHidden/>
    <w:rsid w:val="00B22EFB"/>
    <w:pPr>
      <w:tabs>
        <w:tab w:val="right" w:leader="dot" w:pos="9072"/>
      </w:tabs>
      <w:ind w:left="970" w:hanging="403"/>
    </w:pPr>
    <w:rPr>
      <w:rFonts w:ascii="Times New Roman" w:hAnsi="Times New Roman"/>
      <w:b/>
    </w:rPr>
  </w:style>
  <w:style w:type="paragraph" w:styleId="ListNumber">
    <w:name w:val="List Number"/>
    <w:basedOn w:val="List"/>
    <w:rsid w:val="00B22EFB"/>
    <w:pPr>
      <w:numPr>
        <w:numId w:val="15"/>
      </w:numPr>
      <w:tabs>
        <w:tab w:val="clear" w:pos="340"/>
      </w:tabs>
    </w:pPr>
  </w:style>
  <w:style w:type="character" w:customStyle="1" w:styleId="WingdingSymbols">
    <w:name w:val="Wingding Symbols"/>
    <w:rsid w:val="00B22EFB"/>
    <w:rPr>
      <w:rFonts w:ascii="Wingdings" w:hAnsi="Wingdings"/>
    </w:rPr>
  </w:style>
  <w:style w:type="paragraph" w:customStyle="1" w:styleId="TableHeading">
    <w:name w:val="Table Heading"/>
    <w:basedOn w:val="HeadingBase"/>
    <w:rsid w:val="00B22EFB"/>
    <w:pPr>
      <w:keepLines/>
      <w:pBdr>
        <w:bottom w:val="single" w:sz="6" w:space="1" w:color="918585"/>
      </w:pBdr>
      <w:spacing w:before="240"/>
    </w:pPr>
  </w:style>
  <w:style w:type="character" w:customStyle="1" w:styleId="HotSpot">
    <w:name w:val="HotSpot"/>
    <w:rsid w:val="00B22EFB"/>
    <w:rPr>
      <w:color w:val="0033CC"/>
      <w:u w:val="none"/>
    </w:rPr>
  </w:style>
  <w:style w:type="paragraph" w:customStyle="1" w:styleId="BodyTextRight">
    <w:name w:val="Body Text Right"/>
    <w:basedOn w:val="BodyText"/>
    <w:rsid w:val="00B22EFB"/>
    <w:pPr>
      <w:spacing w:before="0" w:after="0"/>
      <w:jc w:val="right"/>
    </w:pPr>
  </w:style>
  <w:style w:type="paragraph" w:styleId="Index3">
    <w:name w:val="index 3"/>
    <w:basedOn w:val="ListNumber2"/>
    <w:next w:val="Normal"/>
    <w:semiHidden/>
    <w:rsid w:val="00B22EFB"/>
    <w:pPr>
      <w:numPr>
        <w:numId w:val="0"/>
      </w:numPr>
      <w:tabs>
        <w:tab w:val="right" w:leader="dot" w:pos="4176"/>
      </w:tabs>
    </w:pPr>
  </w:style>
  <w:style w:type="paragraph" w:styleId="ListNumber2">
    <w:name w:val="List Number 2"/>
    <w:basedOn w:val="List2"/>
    <w:rsid w:val="00B22EFB"/>
    <w:pPr>
      <w:numPr>
        <w:numId w:val="10"/>
      </w:numPr>
      <w:tabs>
        <w:tab w:val="clear" w:pos="1060"/>
      </w:tabs>
    </w:pPr>
  </w:style>
  <w:style w:type="paragraph" w:customStyle="1" w:styleId="MarginNote">
    <w:name w:val="Margin Note"/>
    <w:basedOn w:val="BodyText"/>
    <w:rsid w:val="00B22E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2E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2E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2EFB"/>
    <w:rPr>
      <w:sz w:val="32"/>
    </w:rPr>
  </w:style>
  <w:style w:type="paragraph" w:customStyle="1" w:styleId="HeadingProcedure">
    <w:name w:val="Heading Procedure"/>
    <w:basedOn w:val="HeadingBase"/>
    <w:next w:val="Normal"/>
    <w:rsid w:val="00B22EFB"/>
    <w:pPr>
      <w:tabs>
        <w:tab w:val="left" w:pos="0"/>
      </w:tabs>
      <w:spacing w:before="120" w:after="60"/>
    </w:pPr>
    <w:rPr>
      <w:i/>
      <w:color w:val="918585"/>
      <w:sz w:val="22"/>
    </w:rPr>
  </w:style>
  <w:style w:type="paragraph" w:customStyle="1" w:styleId="TableBodyText">
    <w:name w:val="Table Body Text"/>
    <w:basedOn w:val="BodyText"/>
    <w:rsid w:val="00B22EFB"/>
    <w:pPr>
      <w:spacing w:before="60" w:after="60"/>
    </w:pPr>
  </w:style>
  <w:style w:type="paragraph" w:styleId="ListContinue">
    <w:name w:val="List Continue"/>
    <w:basedOn w:val="List"/>
    <w:rsid w:val="00B22EFB"/>
    <w:pPr>
      <w:ind w:firstLine="0"/>
    </w:pPr>
  </w:style>
  <w:style w:type="paragraph" w:customStyle="1" w:styleId="ListNote">
    <w:name w:val="List Note"/>
    <w:basedOn w:val="List"/>
    <w:rsid w:val="00B22EFB"/>
    <w:pPr>
      <w:pBdr>
        <w:top w:val="single" w:sz="6" w:space="2" w:color="918585"/>
        <w:bottom w:val="single" w:sz="6" w:space="2" w:color="918585"/>
      </w:pBdr>
      <w:tabs>
        <w:tab w:val="left" w:pos="1021"/>
      </w:tabs>
      <w:ind w:firstLine="0"/>
    </w:pPr>
  </w:style>
  <w:style w:type="paragraph" w:customStyle="1" w:styleId="Warning">
    <w:name w:val="Warning"/>
    <w:basedOn w:val="BodyText"/>
    <w:rsid w:val="00B22EFB"/>
    <w:pPr>
      <w:shd w:val="clear" w:color="auto" w:fill="D9D9D9"/>
      <w:tabs>
        <w:tab w:val="left" w:pos="992"/>
      </w:tabs>
      <w:ind w:left="119" w:right="119"/>
    </w:pPr>
    <w:rPr>
      <w:sz w:val="20"/>
    </w:rPr>
  </w:style>
  <w:style w:type="paragraph" w:customStyle="1" w:styleId="MarginIcons">
    <w:name w:val="Margin Icons"/>
    <w:basedOn w:val="BodyText"/>
    <w:rsid w:val="00B22E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2EFB"/>
    <w:rPr>
      <w:rFonts w:ascii="Courier New" w:hAnsi="Courier New"/>
    </w:rPr>
  </w:style>
  <w:style w:type="paragraph" w:customStyle="1" w:styleId="NoteBullet">
    <w:name w:val="Note Bullet"/>
    <w:basedOn w:val="Note"/>
    <w:rsid w:val="00B22EFB"/>
    <w:pPr>
      <w:tabs>
        <w:tab w:val="clear" w:pos="680"/>
      </w:tabs>
      <w:spacing w:before="60" w:after="60"/>
    </w:pPr>
  </w:style>
  <w:style w:type="paragraph" w:customStyle="1" w:styleId="SubHeading2">
    <w:name w:val="SubHeading2"/>
    <w:basedOn w:val="HeadingBase"/>
    <w:rsid w:val="00B22EFB"/>
    <w:pPr>
      <w:spacing w:before="240" w:after="60"/>
    </w:pPr>
    <w:rPr>
      <w:sz w:val="20"/>
    </w:rPr>
  </w:style>
  <w:style w:type="paragraph" w:customStyle="1" w:styleId="SubHeading1">
    <w:name w:val="SubHeading1"/>
    <w:basedOn w:val="HeadingBase"/>
    <w:rsid w:val="00B22EFB"/>
    <w:pPr>
      <w:spacing w:before="240" w:after="60"/>
    </w:pPr>
    <w:rPr>
      <w:color w:val="918585"/>
      <w:sz w:val="22"/>
    </w:rPr>
  </w:style>
  <w:style w:type="paragraph" w:customStyle="1" w:styleId="SideHeading">
    <w:name w:val="Side Heading"/>
    <w:basedOn w:val="HeadingBase"/>
    <w:rsid w:val="00B22E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2EFB"/>
    <w:pPr>
      <w:tabs>
        <w:tab w:val="num" w:pos="360"/>
      </w:tabs>
    </w:pPr>
  </w:style>
  <w:style w:type="paragraph" w:styleId="PlainText">
    <w:name w:val="Plain Text"/>
    <w:basedOn w:val="Normal"/>
    <w:link w:val="PlainTextChar"/>
    <w:rsid w:val="00B22EFB"/>
    <w:rPr>
      <w:sz w:val="20"/>
    </w:rPr>
  </w:style>
  <w:style w:type="character" w:customStyle="1" w:styleId="PlainTextChar">
    <w:name w:val="Plain Text Char"/>
    <w:basedOn w:val="DefaultParagraphFont"/>
    <w:link w:val="PlainText"/>
    <w:rsid w:val="00B22EFB"/>
    <w:rPr>
      <w:rFonts w:ascii="Courier New" w:eastAsia="Times New Roman" w:hAnsi="Courier New" w:cs="Times New Roman"/>
      <w:sz w:val="20"/>
      <w:szCs w:val="20"/>
      <w:lang w:eastAsia="en-US"/>
    </w:rPr>
  </w:style>
  <w:style w:type="character" w:customStyle="1" w:styleId="MenuOption">
    <w:name w:val="Menu Option"/>
    <w:basedOn w:val="DefaultParagraphFont"/>
    <w:rsid w:val="00B22EFB"/>
    <w:rPr>
      <w:b/>
      <w:smallCaps/>
    </w:rPr>
  </w:style>
  <w:style w:type="paragraph" w:customStyle="1" w:styleId="TableListNumber">
    <w:name w:val="Table List Number"/>
    <w:basedOn w:val="ListNumber"/>
    <w:rsid w:val="00B22EFB"/>
    <w:pPr>
      <w:numPr>
        <w:numId w:val="0"/>
      </w:numPr>
    </w:pPr>
  </w:style>
  <w:style w:type="paragraph" w:styleId="TOC4">
    <w:name w:val="toc 4"/>
    <w:basedOn w:val="TOCBase"/>
    <w:next w:val="Normal"/>
    <w:semiHidden/>
    <w:rsid w:val="00B22EFB"/>
    <w:pPr>
      <w:tabs>
        <w:tab w:val="right" w:leader="dot" w:pos="9071"/>
      </w:tabs>
      <w:ind w:left="1701"/>
    </w:pPr>
  </w:style>
  <w:style w:type="paragraph" w:customStyle="1" w:styleId="ListAlpha">
    <w:name w:val="List Alpha"/>
    <w:basedOn w:val="List"/>
    <w:rsid w:val="00B22EFB"/>
    <w:pPr>
      <w:numPr>
        <w:numId w:val="9"/>
      </w:numPr>
    </w:pPr>
  </w:style>
  <w:style w:type="paragraph" w:customStyle="1" w:styleId="ListAlpha2">
    <w:name w:val="List Alpha 2"/>
    <w:basedOn w:val="List2"/>
    <w:rsid w:val="00B22EFB"/>
    <w:pPr>
      <w:numPr>
        <w:numId w:val="8"/>
      </w:numPr>
    </w:pPr>
  </w:style>
  <w:style w:type="paragraph" w:styleId="List2">
    <w:name w:val="List 2"/>
    <w:basedOn w:val="BodyText"/>
    <w:rsid w:val="00B22EFB"/>
    <w:pPr>
      <w:tabs>
        <w:tab w:val="left" w:pos="680"/>
      </w:tabs>
      <w:spacing w:before="60" w:after="60"/>
      <w:ind w:left="680" w:hanging="340"/>
    </w:pPr>
  </w:style>
  <w:style w:type="paragraph" w:styleId="List3">
    <w:name w:val="List 3"/>
    <w:basedOn w:val="BodyText"/>
    <w:rsid w:val="00B22EFB"/>
    <w:pPr>
      <w:tabs>
        <w:tab w:val="left" w:pos="1021"/>
      </w:tabs>
      <w:spacing w:before="60" w:after="60"/>
      <w:ind w:left="1020" w:hanging="340"/>
    </w:pPr>
  </w:style>
  <w:style w:type="paragraph" w:styleId="List4">
    <w:name w:val="List 4"/>
    <w:basedOn w:val="BodyText"/>
    <w:rsid w:val="00B22EFB"/>
    <w:pPr>
      <w:tabs>
        <w:tab w:val="left" w:pos="1361"/>
      </w:tabs>
      <w:spacing w:before="60" w:after="60"/>
      <w:ind w:left="1361" w:hanging="340"/>
    </w:pPr>
  </w:style>
  <w:style w:type="paragraph" w:styleId="List5">
    <w:name w:val="List 5"/>
    <w:basedOn w:val="BodyText"/>
    <w:rsid w:val="00B22EFB"/>
    <w:pPr>
      <w:tabs>
        <w:tab w:val="left" w:pos="1701"/>
      </w:tabs>
      <w:spacing w:before="60" w:after="60"/>
      <w:ind w:left="1701" w:hanging="340"/>
    </w:pPr>
  </w:style>
  <w:style w:type="paragraph" w:styleId="ListBullet3">
    <w:name w:val="List Bullet 3"/>
    <w:basedOn w:val="List3"/>
    <w:rsid w:val="00B22EFB"/>
    <w:pPr>
      <w:numPr>
        <w:numId w:val="14"/>
      </w:numPr>
      <w:tabs>
        <w:tab w:val="clear" w:pos="1021"/>
      </w:tabs>
      <w:ind w:left="1037" w:hanging="357"/>
    </w:pPr>
  </w:style>
  <w:style w:type="paragraph" w:styleId="ListBullet4">
    <w:name w:val="List Bullet 4"/>
    <w:basedOn w:val="List4"/>
    <w:rsid w:val="00B22EFB"/>
    <w:pPr>
      <w:numPr>
        <w:numId w:val="3"/>
      </w:numPr>
      <w:tabs>
        <w:tab w:val="clear" w:pos="1361"/>
      </w:tabs>
    </w:pPr>
  </w:style>
  <w:style w:type="paragraph" w:styleId="ListBullet5">
    <w:name w:val="List Bullet 5"/>
    <w:basedOn w:val="List5"/>
    <w:rsid w:val="00B22EFB"/>
    <w:pPr>
      <w:numPr>
        <w:numId w:val="4"/>
      </w:numPr>
    </w:pPr>
  </w:style>
  <w:style w:type="paragraph" w:styleId="ListContinue2">
    <w:name w:val="List Continue 2"/>
    <w:basedOn w:val="List2"/>
    <w:rsid w:val="00B22EFB"/>
    <w:pPr>
      <w:ind w:firstLine="0"/>
    </w:pPr>
  </w:style>
  <w:style w:type="paragraph" w:styleId="ListContinue3">
    <w:name w:val="List Continue 3"/>
    <w:basedOn w:val="List3"/>
    <w:rsid w:val="00B22EFB"/>
    <w:pPr>
      <w:ind w:left="1021" w:firstLine="0"/>
    </w:pPr>
  </w:style>
  <w:style w:type="paragraph" w:styleId="ListContinue4">
    <w:name w:val="List Continue 4"/>
    <w:basedOn w:val="List4"/>
    <w:rsid w:val="00B22EFB"/>
    <w:pPr>
      <w:ind w:firstLine="0"/>
    </w:pPr>
  </w:style>
  <w:style w:type="paragraph" w:styleId="ListContinue5">
    <w:name w:val="List Continue 5"/>
    <w:basedOn w:val="List5"/>
    <w:rsid w:val="00B22EFB"/>
    <w:pPr>
      <w:ind w:firstLine="0"/>
    </w:pPr>
  </w:style>
  <w:style w:type="paragraph" w:styleId="ListNumber3">
    <w:name w:val="List Number 3"/>
    <w:basedOn w:val="List3"/>
    <w:rsid w:val="00B22EFB"/>
    <w:pPr>
      <w:numPr>
        <w:numId w:val="5"/>
      </w:numPr>
    </w:pPr>
  </w:style>
  <w:style w:type="paragraph" w:styleId="ListNumber4">
    <w:name w:val="List Number 4"/>
    <w:basedOn w:val="List4"/>
    <w:rsid w:val="00B22EFB"/>
    <w:pPr>
      <w:numPr>
        <w:numId w:val="6"/>
      </w:numPr>
    </w:pPr>
  </w:style>
  <w:style w:type="paragraph" w:styleId="ListNumber5">
    <w:name w:val="List Number 5"/>
    <w:basedOn w:val="List5"/>
    <w:rsid w:val="00B22EFB"/>
    <w:pPr>
      <w:numPr>
        <w:numId w:val="7"/>
      </w:numPr>
    </w:pPr>
  </w:style>
  <w:style w:type="paragraph" w:styleId="BlockText">
    <w:name w:val="Block Text"/>
    <w:basedOn w:val="Normal"/>
    <w:rsid w:val="00B22EFB"/>
    <w:pPr>
      <w:spacing w:after="120"/>
      <w:ind w:left="1440" w:right="1440"/>
    </w:pPr>
  </w:style>
  <w:style w:type="character" w:customStyle="1" w:styleId="Subscript">
    <w:name w:val="Subscript"/>
    <w:basedOn w:val="DefaultParagraphFont"/>
    <w:rsid w:val="00B22EFB"/>
    <w:rPr>
      <w:sz w:val="16"/>
      <w:vertAlign w:val="subscript"/>
    </w:rPr>
  </w:style>
  <w:style w:type="character" w:customStyle="1" w:styleId="Superscript">
    <w:name w:val="Superscript"/>
    <w:basedOn w:val="DefaultParagraphFont"/>
    <w:rsid w:val="00B22EFB"/>
    <w:rPr>
      <w:sz w:val="16"/>
      <w:vertAlign w:val="superscript"/>
    </w:rPr>
  </w:style>
  <w:style w:type="character" w:customStyle="1" w:styleId="Symbols">
    <w:name w:val="Symbols"/>
    <w:basedOn w:val="DefaultParagraphFont"/>
    <w:rsid w:val="00B22EFB"/>
    <w:rPr>
      <w:rFonts w:ascii="Symbol" w:hAnsi="Symbol"/>
    </w:rPr>
  </w:style>
  <w:style w:type="character" w:customStyle="1" w:styleId="MenuOptions">
    <w:name w:val="Menu Options"/>
    <w:basedOn w:val="DefaultParagraphFont"/>
    <w:rsid w:val="00B22EFB"/>
    <w:rPr>
      <w:rFonts w:ascii="Arial Narrow" w:hAnsi="Arial Narrow"/>
      <w:smallCaps/>
    </w:rPr>
  </w:style>
  <w:style w:type="character" w:customStyle="1" w:styleId="Buttons">
    <w:name w:val="Buttons"/>
    <w:basedOn w:val="DefaultParagraphFont"/>
    <w:rsid w:val="00B22EFB"/>
    <w:rPr>
      <w:b/>
    </w:rPr>
  </w:style>
  <w:style w:type="character" w:customStyle="1" w:styleId="Underlined">
    <w:name w:val="Underlined"/>
    <w:basedOn w:val="DefaultParagraphFont"/>
    <w:rsid w:val="00B22EFB"/>
    <w:rPr>
      <w:u w:val="single"/>
    </w:rPr>
  </w:style>
  <w:style w:type="paragraph" w:customStyle="1" w:styleId="TableBodyTextRight">
    <w:name w:val="Table Body Text Right"/>
    <w:basedOn w:val="TableBodyText"/>
    <w:rsid w:val="00B22EFB"/>
    <w:pPr>
      <w:widowControl w:val="0"/>
      <w:autoSpaceDE w:val="0"/>
      <w:autoSpaceDN w:val="0"/>
      <w:adjustRightInd w:val="0"/>
      <w:jc w:val="right"/>
    </w:pPr>
    <w:rPr>
      <w:rFonts w:cs="Arial"/>
      <w:szCs w:val="18"/>
    </w:rPr>
  </w:style>
  <w:style w:type="paragraph" w:customStyle="1" w:styleId="CopyrightText">
    <w:name w:val="Copyright Text"/>
    <w:basedOn w:val="BodyText"/>
    <w:rsid w:val="00B22EFB"/>
    <w:rPr>
      <w:sz w:val="18"/>
    </w:rPr>
  </w:style>
  <w:style w:type="paragraph" w:customStyle="1" w:styleId="BodySmallRight">
    <w:name w:val="Body Small Right"/>
    <w:basedOn w:val="BodyTextRight"/>
    <w:rsid w:val="00B22EFB"/>
    <w:rPr>
      <w:sz w:val="18"/>
      <w:szCs w:val="18"/>
    </w:rPr>
  </w:style>
  <w:style w:type="paragraph" w:customStyle="1" w:styleId="MarginEdition">
    <w:name w:val="Margin Edition"/>
    <w:basedOn w:val="MarginNote"/>
    <w:rsid w:val="00B22EFB"/>
    <w:pPr>
      <w:spacing w:before="0" w:after="0"/>
    </w:pPr>
    <w:rPr>
      <w:rFonts w:ascii="Times New Roman" w:hAnsi="Times New Roman"/>
      <w:color w:val="999999"/>
    </w:rPr>
  </w:style>
  <w:style w:type="paragraph" w:customStyle="1" w:styleId="Spacer">
    <w:name w:val="Spacer"/>
    <w:basedOn w:val="Normal"/>
    <w:rsid w:val="00B22EFB"/>
    <w:rPr>
      <w:sz w:val="2"/>
      <w:szCs w:val="2"/>
    </w:rPr>
  </w:style>
  <w:style w:type="character" w:customStyle="1" w:styleId="Small">
    <w:name w:val="Small"/>
    <w:basedOn w:val="DefaultParagraphFont"/>
    <w:rsid w:val="00B22EFB"/>
    <w:rPr>
      <w:sz w:val="16"/>
    </w:rPr>
  </w:style>
  <w:style w:type="paragraph" w:customStyle="1" w:styleId="WideTable">
    <w:name w:val="Wide Table"/>
    <w:basedOn w:val="Normal"/>
    <w:rsid w:val="00B22EFB"/>
    <w:pPr>
      <w:ind w:left="-1418"/>
    </w:pPr>
    <w:rPr>
      <w:sz w:val="2"/>
      <w:szCs w:val="2"/>
    </w:rPr>
  </w:style>
  <w:style w:type="character" w:styleId="PageNumber">
    <w:name w:val="page number"/>
    <w:basedOn w:val="DefaultParagraphFont"/>
    <w:rsid w:val="00B22EFB"/>
  </w:style>
  <w:style w:type="paragraph" w:styleId="Quote">
    <w:name w:val="Quote"/>
    <w:basedOn w:val="Heading1"/>
    <w:link w:val="QuoteChar"/>
    <w:qFormat/>
    <w:rsid w:val="00B22EFB"/>
    <w:rPr>
      <w:b w:val="0"/>
      <w:sz w:val="72"/>
      <w:szCs w:val="72"/>
      <w:lang w:val="en-NZ"/>
    </w:rPr>
  </w:style>
  <w:style w:type="character" w:customStyle="1" w:styleId="QuoteChar">
    <w:name w:val="Quote Char"/>
    <w:basedOn w:val="DefaultParagraphFont"/>
    <w:link w:val="Quote"/>
    <w:rsid w:val="00B22E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2EFB"/>
    <w:pPr>
      <w:pageBreakBefore/>
    </w:pPr>
  </w:style>
  <w:style w:type="paragraph" w:customStyle="1" w:styleId="Border">
    <w:name w:val="Border"/>
    <w:basedOn w:val="Normal"/>
    <w:qFormat/>
    <w:rsid w:val="00B22E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2EFB"/>
    <w:rPr>
      <w:b/>
      <w:bCs/>
      <w:i/>
      <w:iCs/>
      <w:color w:val="auto"/>
    </w:rPr>
  </w:style>
  <w:style w:type="paragraph" w:styleId="IntenseQuote">
    <w:name w:val="Intense Quote"/>
    <w:basedOn w:val="Normal"/>
    <w:next w:val="Normal"/>
    <w:link w:val="IntenseQuoteChar"/>
    <w:uiPriority w:val="30"/>
    <w:qFormat/>
    <w:rsid w:val="00B22E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2E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2EFB"/>
    <w:rPr>
      <w:smallCaps/>
      <w:color w:val="auto"/>
      <w:u w:val="single"/>
    </w:rPr>
  </w:style>
  <w:style w:type="character" w:styleId="IntenseReference">
    <w:name w:val="Intense Reference"/>
    <w:basedOn w:val="DefaultParagraphFont"/>
    <w:uiPriority w:val="32"/>
    <w:qFormat/>
    <w:rsid w:val="00B22EFB"/>
    <w:rPr>
      <w:b/>
      <w:bCs/>
      <w:smallCaps/>
      <w:color w:val="auto"/>
      <w:spacing w:val="5"/>
      <w:u w:val="single"/>
    </w:rPr>
  </w:style>
  <w:style w:type="paragraph" w:customStyle="1" w:styleId="2ColumnHeading">
    <w:name w:val="2Column Heading"/>
    <w:basedOn w:val="BodyText"/>
    <w:qFormat/>
    <w:rsid w:val="00B22EFB"/>
    <w:pPr>
      <w:spacing w:after="60"/>
      <w:ind w:left="-2268"/>
    </w:pPr>
    <w:rPr>
      <w:b/>
    </w:rPr>
  </w:style>
  <w:style w:type="paragraph" w:customStyle="1" w:styleId="Heading1TOC">
    <w:name w:val="Heading1 TOC"/>
    <w:basedOn w:val="Normal"/>
    <w:qFormat/>
    <w:rsid w:val="00B22EFB"/>
    <w:pPr>
      <w:spacing w:before="240" w:after="120"/>
    </w:pPr>
    <w:rPr>
      <w:rFonts w:ascii="Times New Roman" w:hAnsi="Times New Roman"/>
      <w:b/>
      <w:sz w:val="32"/>
    </w:rPr>
  </w:style>
  <w:style w:type="paragraph" w:customStyle="1" w:styleId="Heading2TOC">
    <w:name w:val="Heading2 TOC"/>
    <w:basedOn w:val="Normal"/>
    <w:qFormat/>
    <w:rsid w:val="00B22EFB"/>
    <w:pPr>
      <w:spacing w:before="240" w:after="60"/>
    </w:pPr>
    <w:rPr>
      <w:rFonts w:ascii="Times New Roman" w:hAnsi="Times New Roman"/>
      <w:b/>
      <w:sz w:val="28"/>
    </w:rPr>
  </w:style>
  <w:style w:type="character" w:customStyle="1" w:styleId="Underline">
    <w:name w:val="Underline"/>
    <w:basedOn w:val="DefaultParagraphFont"/>
    <w:qFormat/>
    <w:rsid w:val="00B22EFB"/>
    <w:rPr>
      <w:u w:val="single"/>
    </w:rPr>
  </w:style>
  <w:style w:type="character" w:customStyle="1" w:styleId="BoldandItalics">
    <w:name w:val="Bold and Italics"/>
    <w:qFormat/>
    <w:rsid w:val="00B22EFB"/>
    <w:rPr>
      <w:b/>
      <w:i/>
      <w:u w:val="none"/>
    </w:rPr>
  </w:style>
  <w:style w:type="paragraph" w:styleId="BalloonText">
    <w:name w:val="Balloon Text"/>
    <w:basedOn w:val="Normal"/>
    <w:link w:val="BalloonTextChar"/>
    <w:rsid w:val="00B22EFB"/>
    <w:rPr>
      <w:rFonts w:ascii="Tahoma" w:hAnsi="Tahoma" w:cs="Tahoma"/>
      <w:sz w:val="16"/>
      <w:szCs w:val="16"/>
    </w:rPr>
  </w:style>
  <w:style w:type="character" w:customStyle="1" w:styleId="BalloonTextChar">
    <w:name w:val="Balloon Text Char"/>
    <w:basedOn w:val="DefaultParagraphFont"/>
    <w:link w:val="BalloonText"/>
    <w:rsid w:val="00B22E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2E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2E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2EFB"/>
    <w:rPr>
      <w:b/>
      <w:color w:val="660033"/>
      <w:spacing w:val="0"/>
    </w:rPr>
  </w:style>
  <w:style w:type="paragraph" w:customStyle="1" w:styleId="Nameditemlist">
    <w:name w:val="Named item list"/>
    <w:basedOn w:val="BodyText"/>
    <w:qFormat/>
    <w:rsid w:val="00B22EFB"/>
    <w:pPr>
      <w:tabs>
        <w:tab w:val="left" w:pos="2835"/>
      </w:tabs>
      <w:ind w:left="2835" w:hanging="2835"/>
    </w:pPr>
  </w:style>
  <w:style w:type="paragraph" w:customStyle="1" w:styleId="BodyTextnopadding">
    <w:name w:val="Body Text no padding"/>
    <w:basedOn w:val="BodyText"/>
    <w:qFormat/>
    <w:rsid w:val="00B22EFB"/>
    <w:pPr>
      <w:spacing w:before="0" w:after="0"/>
    </w:pPr>
  </w:style>
  <w:style w:type="paragraph" w:customStyle="1" w:styleId="BodyTextBold">
    <w:name w:val="Body Text Bold"/>
    <w:basedOn w:val="BodyText"/>
    <w:qFormat/>
    <w:rsid w:val="00B22EFB"/>
    <w:rPr>
      <w:b/>
    </w:rPr>
  </w:style>
  <w:style w:type="character" w:styleId="Hyperlink">
    <w:name w:val="Hyperlink"/>
    <w:basedOn w:val="DefaultParagraphFont"/>
    <w:uiPriority w:val="99"/>
    <w:unhideWhenUsed/>
    <w:rsid w:val="00957F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747</Words>
  <Characters>4880</Characters>
  <Application>Microsoft Office Word</Application>
  <DocSecurity>0</DocSecurity>
  <Lines>128</Lines>
  <Paragraphs>106</Paragraphs>
  <ScaleCrop>false</ScaleCrop>
  <Company>Author-it Software Corporation Ltd.</Company>
  <LinksUpToDate>false</LinksUpToDate>
  <CharactersWithSpaces>5521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ACMEQD402 Determine equine oral function efficiency</dc:title>
  <dc:subject>Approved</dc:subject>
  <dc:creator>Skills Impact</dc:creator>
  <cp:keywords>Release: 1</cp:keywords>
  <dc:description>Review Date: 12 April 2008</dc:description>
  <cp:lastModifiedBy>HSD_TPCMSd.prod</cp:lastModifiedBy>
  <cp:revision>3</cp:revision>
  <dcterms:created xsi:type="dcterms:W3CDTF">2021-07-23T04:52:00Z</dcterms:created>
  <dcterms:modified xsi:type="dcterms:W3CDTF">2021-07-23T04:52:00Z</dcterms:modified>
</cp:coreProperties>
</file>