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465" w:rsidP="00424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ACMCAN310 Assist with exhibit design and renovation planning</w:t>
      </w:r>
      <w:r>
        <w:fldChar w:fldCharType="end"/>
      </w:r>
    </w:p>
    <w:p w:rsidR="00424465" w:rsidP="00424465">
      <w:pPr>
        <w:pStyle w:val="Version"/>
        <w:sectPr w:rsidSect="006F5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0F7" w:rsidP="006F50F7">
      <w:pPr>
        <w:pStyle w:val="SuperHeading"/>
      </w:pPr>
      <w:r w:rsidRPr="006F50F7">
        <w:t>ACMCAN310 Assist with exhibit design and renovation planning</w:t>
      </w:r>
    </w:p>
    <w:p w:rsidR="00000000" w:rsidRPr="006F50F7" w:rsidP="006F50F7">
      <w:pPr>
        <w:pStyle w:val="Heading1"/>
      </w:pPr>
      <w:bookmarkStart w:id="1" w:name="O_856982"/>
      <w:bookmarkEnd w:id="1"/>
      <w:r w:rsidRPr="006F50F7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6F50F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rPr>
                <w:rStyle w:val="SpecialBold"/>
              </w:rPr>
              <w:t>Comments</w:t>
            </w:r>
          </w:p>
        </w:tc>
      </w:tr>
      <w:tr w:rsidTr="006F50F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t>This version released with ACM Animal Care and Management Training Package Version 1.0.</w:t>
            </w:r>
          </w:p>
        </w:tc>
      </w:tr>
    </w:tbl>
    <w:p w:rsidR="00000000" w:rsidRPr="006F50F7" w:rsidP="006F50F7">
      <w:pPr>
        <w:pStyle w:val="BodyText"/>
      </w:pPr>
    </w:p>
    <w:p w:rsidR="00000000" w:rsidRPr="006F50F7" w:rsidP="006F50F7">
      <w:pPr>
        <w:pStyle w:val="AllowPageBreak"/>
      </w:pPr>
    </w:p>
    <w:p w:rsidR="00000000" w:rsidRPr="006F50F7" w:rsidP="006F50F7">
      <w:pPr>
        <w:pStyle w:val="Heading1"/>
      </w:pPr>
      <w:bookmarkStart w:id="2" w:name="O_856983"/>
      <w:bookmarkEnd w:id="2"/>
      <w:r w:rsidRPr="006F50F7">
        <w:t>Application</w:t>
      </w:r>
    </w:p>
    <w:p w:rsidR="00000000" w:rsidRPr="006F50F7" w:rsidP="00424465">
      <w:pPr>
        <w:pStyle w:val="BodyText"/>
      </w:pPr>
      <w:r w:rsidRPr="006F50F7">
        <w:t>This unit of competency describes the skills and knowledge required to c</w:t>
      </w:r>
      <w:r w:rsidRPr="006F50F7">
        <w:t xml:space="preserve">ontribute to exhibit design and renovation planning. </w:t>
      </w:r>
    </w:p>
    <w:p w:rsidR="00000000" w:rsidRPr="006F50F7" w:rsidP="00424465">
      <w:pPr>
        <w:pStyle w:val="BodyText"/>
      </w:pPr>
      <w:r w:rsidRPr="006F50F7">
        <w:t>This unit applies to wildlife animal keepers or carers who work in a captive animal facility, under the direction of a more experienced staff member.</w:t>
      </w:r>
    </w:p>
    <w:p w:rsidR="00000000" w:rsidRPr="006F50F7" w:rsidP="00424465">
      <w:pPr>
        <w:pStyle w:val="BodyText"/>
      </w:pPr>
      <w:r w:rsidRPr="006F50F7">
        <w:t>No occupational licensing, legislative or certificat</w:t>
      </w:r>
      <w:r w:rsidRPr="006F50F7">
        <w:t>ion requirements are known to apply to this unit at the time of publication.</w:t>
      </w:r>
    </w:p>
    <w:p w:rsidR="00000000" w:rsidRPr="006F50F7" w:rsidP="00424465">
      <w:pPr>
        <w:pStyle w:val="BodyText"/>
      </w:pPr>
      <w:r w:rsidRPr="006F50F7">
        <w:t xml:space="preserve">NOTE: The terms </w:t>
      </w:r>
      <w:r>
        <w:t>‘</w:t>
      </w:r>
      <w:r w:rsidRPr="006F50F7">
        <w:t>occupational health and safety</w:t>
      </w:r>
      <w:r>
        <w:t>’</w:t>
      </w:r>
      <w:r w:rsidRPr="006F50F7">
        <w:t xml:space="preserve"> (OHS) and </w:t>
      </w:r>
      <w:r>
        <w:t>‘</w:t>
      </w:r>
      <w:r w:rsidRPr="006F50F7">
        <w:t>work health and safety</w:t>
      </w:r>
      <w:r>
        <w:t>’</w:t>
      </w:r>
      <w:r w:rsidRPr="006F50F7">
        <w:t xml:space="preserve"> (WHS) generally have the same meaning in the workplace. In jurisdictions where the national mod</w:t>
      </w:r>
      <w:r w:rsidRPr="006F50F7">
        <w:t>el WHS legislation has not been implemented, RTOs must contextualise the unit of competency by referring to current OHS legislative requirements.</w:t>
      </w:r>
    </w:p>
    <w:p w:rsidR="00000000" w:rsidRPr="006F50F7" w:rsidP="006F50F7">
      <w:pPr>
        <w:pStyle w:val="Heading1"/>
      </w:pPr>
      <w:bookmarkStart w:id="3" w:name="O_856984"/>
      <w:bookmarkEnd w:id="3"/>
      <w:r w:rsidRPr="006F50F7">
        <w:t>Pre-requisite Unit</w:t>
      </w:r>
    </w:p>
    <w:p w:rsidR="00000000" w:rsidRPr="006F50F7" w:rsidP="00424465">
      <w:pPr>
        <w:pStyle w:val="BodyText"/>
      </w:pPr>
      <w:r w:rsidRPr="006F50F7">
        <w:t>Nil</w:t>
      </w:r>
    </w:p>
    <w:p w:rsidR="00000000" w:rsidRPr="006F50F7" w:rsidP="006F50F7">
      <w:pPr>
        <w:pStyle w:val="Heading1"/>
      </w:pPr>
      <w:bookmarkStart w:id="4" w:name="O_856986"/>
      <w:bookmarkEnd w:id="4"/>
      <w:r w:rsidRPr="006F50F7">
        <w:t>Unit Sector</w:t>
      </w:r>
    </w:p>
    <w:p w:rsidR="00000000" w:rsidRPr="006F50F7" w:rsidP="00424465">
      <w:pPr>
        <w:pStyle w:val="BodyText"/>
      </w:pPr>
      <w:r w:rsidRPr="006F50F7">
        <w:t>Captive Animals (CAN)</w:t>
      </w:r>
    </w:p>
    <w:p w:rsidR="00000000" w:rsidRPr="006F50F7" w:rsidP="006F50F7">
      <w:pPr>
        <w:pStyle w:val="Heading1"/>
      </w:pPr>
      <w:bookmarkStart w:id="5" w:name="O_856987"/>
      <w:bookmarkEnd w:id="5"/>
      <w:r w:rsidRPr="006F50F7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903"/>
      </w:tblGrid>
      <w:tr w:rsidTr="0042446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rPr>
                <w:rStyle w:val="SpecialBold"/>
              </w:rPr>
              <w:t>Element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rPr>
                <w:rStyle w:val="SpecialBold"/>
              </w:rPr>
              <w:t>Performance criteria</w:t>
            </w:r>
          </w:p>
        </w:tc>
      </w:tr>
      <w:tr w:rsidTr="0042446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rPr>
                <w:rStyle w:val="Emphasis"/>
              </w:rPr>
              <w:t>Elements describe the essential outcomes.</w:t>
            </w:r>
          </w:p>
        </w:tc>
        <w:tc>
          <w:tcPr>
            <w:tcW w:w="69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446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t>1. Assess exhibit status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t>1.1 Review exhibit security for animals, staff and the public according to WHS, animal welfare and ethics</w:t>
            </w:r>
          </w:p>
          <w:p w:rsidR="00000000" w:rsidRPr="006F50F7" w:rsidP="006F50F7">
            <w:pPr>
              <w:pStyle w:val="BodyText"/>
            </w:pPr>
            <w:r w:rsidRPr="006F50F7">
              <w:t xml:space="preserve">1.2 Evaluate animal welfare in relation to exhibit structure and </w:t>
            </w:r>
            <w:r w:rsidRPr="006F50F7">
              <w:t>furnishings</w:t>
            </w:r>
          </w:p>
          <w:p w:rsidR="00000000" w:rsidRPr="006F50F7" w:rsidP="006F50F7">
            <w:pPr>
              <w:pStyle w:val="BodyText"/>
            </w:pPr>
            <w:r w:rsidRPr="006F50F7">
              <w:t>1.3 Review exhibit aesthetics and access from the perspective of public p</w:t>
            </w:r>
            <w:r w:rsidRPr="006F50F7">
              <w:t>erception, workplace image and animal needs</w:t>
            </w:r>
          </w:p>
          <w:p w:rsidR="00000000" w:rsidRPr="006F50F7" w:rsidP="006F50F7">
            <w:pPr>
              <w:pStyle w:val="BodyText"/>
            </w:pPr>
            <w:r w:rsidRPr="006F50F7">
              <w:t>1.4 Evaluate exhibit furnishings condition, functionality and safety</w:t>
            </w:r>
          </w:p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t>1.5 Document and report recommendations for exhibit design or renovation upgrades</w:t>
            </w:r>
          </w:p>
        </w:tc>
      </w:tr>
      <w:tr w:rsidTr="0042446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t>2. Contribute to exhibit design and renovation planning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t xml:space="preserve">2.1 </w:t>
            </w:r>
            <w:r w:rsidRPr="006F50F7">
              <w:t>Review enclosure and exhibit development and renovation proposals</w:t>
            </w:r>
          </w:p>
          <w:p w:rsidR="00000000" w:rsidRPr="006F50F7" w:rsidP="006F50F7">
            <w:pPr>
              <w:pStyle w:val="BodyText"/>
            </w:pPr>
            <w:r w:rsidRPr="006F50F7">
              <w:t>2.2 Make contributions to facility concept briefs for the design or renovation of enclosures and exhibits</w:t>
            </w:r>
          </w:p>
        </w:tc>
      </w:tr>
    </w:tbl>
    <w:p w:rsidR="00000000" w:rsidRPr="006F50F7" w:rsidP="006F50F7">
      <w:pPr>
        <w:pStyle w:val="Heading4"/>
      </w:pPr>
    </w:p>
    <w:p w:rsidR="00000000" w:rsidRPr="006F50F7" w:rsidP="006F50F7">
      <w:pPr>
        <w:pStyle w:val="Heading1"/>
      </w:pPr>
      <w:bookmarkStart w:id="6" w:name="O_856988"/>
      <w:bookmarkEnd w:id="6"/>
      <w:r w:rsidRPr="006F50F7">
        <w:t>Foundation Skills</w:t>
      </w:r>
    </w:p>
    <w:p w:rsidR="00000000" w:rsidRPr="00424465" w:rsidP="00424465">
      <w:pPr>
        <w:pStyle w:val="BodyText"/>
        <w:rPr>
          <w:i/>
        </w:rPr>
      </w:pPr>
      <w:r w:rsidRPr="00424465">
        <w:rPr>
          <w:rStyle w:val="Emphasis"/>
        </w:rPr>
        <w:t>This section describes those language, literacy,</w:t>
      </w:r>
      <w:r w:rsidRPr="00424465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rPr>
                <w:rStyle w:val="SpecialBold"/>
              </w:rPr>
              <w:t>Description</w:t>
            </w:r>
          </w:p>
        </w:tc>
      </w:tr>
      <w:tr w:rsidTr="006F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ListBullet"/>
            </w:pPr>
            <w:r w:rsidRPr="006F50F7">
              <w:t>Complete mathematical calculations relating to enclosure and exhibit designs</w:t>
            </w:r>
          </w:p>
        </w:tc>
      </w:tr>
    </w:tbl>
    <w:p w:rsidR="00000000" w:rsidRPr="006F50F7" w:rsidP="006F50F7">
      <w:pPr>
        <w:pStyle w:val="BodyText"/>
      </w:pPr>
    </w:p>
    <w:p w:rsidR="00000000" w:rsidRPr="006F50F7" w:rsidP="006F50F7">
      <w:pPr>
        <w:pStyle w:val="AllowPageBreak"/>
      </w:pPr>
    </w:p>
    <w:p w:rsidR="00000000" w:rsidRPr="006F50F7" w:rsidP="006F50F7">
      <w:pPr>
        <w:pStyle w:val="Heading1"/>
      </w:pPr>
      <w:bookmarkStart w:id="7" w:name="O_856990"/>
      <w:bookmarkEnd w:id="7"/>
      <w:r w:rsidRPr="006F50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2137"/>
        <w:gridCol w:w="2274"/>
        <w:gridCol w:w="3110"/>
      </w:tblGrid>
      <w:tr w:rsidTr="006F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rPr>
                <w:rStyle w:val="SpecialBold"/>
              </w:rPr>
              <w:t>Code and title current version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rPr>
                <w:rStyle w:val="SpecialBold"/>
              </w:rPr>
              <w:t>Code and title previous version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rPr>
                <w:rStyle w:val="SpecialBold"/>
              </w:rPr>
              <w:t>Comments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rPr>
                <w:rStyle w:val="SpecialBold"/>
              </w:rPr>
              <w:t>Equivalence status</w:t>
            </w:r>
          </w:p>
        </w:tc>
      </w:tr>
      <w:tr w:rsidTr="006F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t>ACMCAN310 Assist with exhibit design and renovation planning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t>ACMCAN310A Assist with exhibit design and renovation planning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t>Updated to meet Standards for Training Packages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t xml:space="preserve">Equivalent unit </w:t>
            </w:r>
          </w:p>
          <w:p w:rsidR="00000000" w:rsidRPr="006F50F7" w:rsidP="006F50F7">
            <w:pPr>
              <w:pStyle w:val="BodyText"/>
            </w:pPr>
          </w:p>
        </w:tc>
      </w:tr>
    </w:tbl>
    <w:p w:rsidR="00000000" w:rsidRPr="006F50F7" w:rsidP="006F50F7">
      <w:pPr>
        <w:pStyle w:val="BodyText"/>
      </w:pPr>
    </w:p>
    <w:p w:rsidR="00000000" w:rsidRPr="006F50F7" w:rsidP="006F50F7">
      <w:pPr>
        <w:pStyle w:val="AllowPageBreak"/>
      </w:pPr>
    </w:p>
    <w:p w:rsidR="00000000" w:rsidRPr="006F50F7" w:rsidP="006F50F7">
      <w:pPr>
        <w:pStyle w:val="Heading1"/>
      </w:pPr>
      <w:bookmarkStart w:id="8" w:name="O_856997"/>
      <w:bookmarkEnd w:id="8"/>
      <w:r w:rsidRPr="006F50F7">
        <w:t>Links</w:t>
      </w:r>
    </w:p>
    <w:p w:rsidR="00000000" w:rsidRPr="006F50F7" w:rsidP="00424465">
      <w:pPr>
        <w:pStyle w:val="BodyText"/>
      </w:pPr>
      <w:r w:rsidRPr="006F50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5089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F50F7" w:rsidP="00424465">
      <w:pPr>
        <w:pStyle w:val="BodyText"/>
        <w:sectPr w:rsidSect="006F50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50F7" w:rsidP="006F50F7">
      <w:pPr>
        <w:pStyle w:val="SuperHeading"/>
      </w:pPr>
      <w:r w:rsidRPr="006F50F7">
        <w:t>Assessment Requirements for ACMCAN310 Assist with exhibit design and renovation planning</w:t>
      </w:r>
    </w:p>
    <w:p w:rsidR="00000000" w:rsidRPr="006F50F7" w:rsidP="006F50F7">
      <w:pPr>
        <w:pStyle w:val="Heading1"/>
      </w:pPr>
      <w:bookmarkStart w:id="9" w:name="O_856992"/>
      <w:bookmarkEnd w:id="9"/>
      <w:r w:rsidRPr="006F50F7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6F50F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rPr>
                <w:rStyle w:val="SpecialBold"/>
              </w:rPr>
              <w:t>Comments</w:t>
            </w:r>
          </w:p>
        </w:tc>
      </w:tr>
      <w:tr w:rsidTr="006F50F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F7">
            <w:pPr>
              <w:pStyle w:val="BodyText"/>
              <w:rPr>
                <w:lang w:val="en-NZ"/>
              </w:rPr>
            </w:pPr>
            <w:r w:rsidRPr="006F50F7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F7" w:rsidP="006F50F7">
            <w:pPr>
              <w:pStyle w:val="BodyText"/>
            </w:pPr>
            <w:r w:rsidRPr="006F50F7">
              <w:t>This version released with ACM Animal Care and Management Training Package Version 1.0.</w:t>
            </w:r>
          </w:p>
        </w:tc>
      </w:tr>
    </w:tbl>
    <w:p w:rsidR="00000000" w:rsidRPr="006F50F7" w:rsidP="006F50F7">
      <w:pPr>
        <w:pStyle w:val="BodyText"/>
      </w:pPr>
    </w:p>
    <w:p w:rsidR="00000000" w:rsidRPr="006F50F7" w:rsidP="006F50F7">
      <w:pPr>
        <w:pStyle w:val="AllowPageBreak"/>
      </w:pPr>
    </w:p>
    <w:p w:rsidR="00000000" w:rsidRPr="006F50F7" w:rsidP="006F50F7">
      <w:pPr>
        <w:pStyle w:val="Heading1"/>
      </w:pPr>
      <w:bookmarkStart w:id="10" w:name="O_856993"/>
      <w:bookmarkEnd w:id="10"/>
      <w:r w:rsidRPr="006F50F7">
        <w:t>Performance Evidence</w:t>
      </w:r>
    </w:p>
    <w:p w:rsidR="00000000" w:rsidRPr="006F50F7" w:rsidP="00424465">
      <w:pPr>
        <w:pStyle w:val="BodyText"/>
      </w:pPr>
      <w:r w:rsidRPr="006F50F7">
        <w:t xml:space="preserve">An individual demonstrating competency must satisfy all of the elements and performance criteria in this unit. </w:t>
      </w:r>
    </w:p>
    <w:p w:rsidR="00000000" w:rsidRPr="006F50F7" w:rsidP="00424465">
      <w:pPr>
        <w:pStyle w:val="BodyText"/>
      </w:pPr>
      <w:r w:rsidRPr="006F50F7">
        <w:t>There must be evidence that the individual has assisted with exhibit design and renovation planning on a minimum of three occasions, including:</w:t>
      </w:r>
    </w:p>
    <w:p w:rsidR="00000000" w:rsidRPr="006F50F7" w:rsidP="006F50F7">
      <w:pPr>
        <w:pStyle w:val="ListBullet"/>
      </w:pPr>
      <w:r w:rsidRPr="006F50F7">
        <w:t>assessed current exhibit status and submitted upgrade recommendations</w:t>
      </w:r>
    </w:p>
    <w:p w:rsidR="00000000" w:rsidRPr="006F50F7" w:rsidP="006F50F7">
      <w:pPr>
        <w:pStyle w:val="ListBullet"/>
      </w:pPr>
      <w:r w:rsidRPr="006F50F7">
        <w:t xml:space="preserve">contributed to concept briefs for new or </w:t>
      </w:r>
      <w:r w:rsidRPr="006F50F7">
        <w:t xml:space="preserve">renovated exhibits. </w:t>
      </w:r>
    </w:p>
    <w:p w:rsidR="00000000" w:rsidRPr="006F50F7" w:rsidP="006F50F7">
      <w:pPr>
        <w:pStyle w:val="AllowPageBreak"/>
      </w:pPr>
    </w:p>
    <w:p w:rsidR="00000000" w:rsidRPr="006F50F7" w:rsidP="006F50F7">
      <w:pPr>
        <w:pStyle w:val="Heading1"/>
      </w:pPr>
      <w:bookmarkStart w:id="11" w:name="O_856994"/>
      <w:bookmarkEnd w:id="11"/>
      <w:r w:rsidRPr="006F50F7">
        <w:t>Knowledge Evidence</w:t>
      </w:r>
    </w:p>
    <w:p w:rsidR="00000000" w:rsidRPr="006F50F7" w:rsidP="00424465">
      <w:pPr>
        <w:pStyle w:val="BodyText"/>
      </w:pPr>
      <w:r w:rsidRPr="006F50F7">
        <w:t>An individual must be able to demonstrate the knowledge required to perform the tasks outlined in the elements and performance criteria of this unit. This includes knowledge of:</w:t>
      </w:r>
    </w:p>
    <w:p w:rsidR="00000000" w:rsidRPr="006F50F7" w:rsidP="006F50F7">
      <w:pPr>
        <w:pStyle w:val="ListBullet"/>
      </w:pPr>
      <w:r w:rsidRPr="006F50F7">
        <w:t>principles and pract</w:t>
      </w:r>
      <w:r w:rsidRPr="006F50F7">
        <w:t>ices of animal exhibit design and renovation planning</w:t>
      </w:r>
    </w:p>
    <w:p w:rsidR="00000000" w:rsidRPr="006F50F7" w:rsidP="006F50F7">
      <w:pPr>
        <w:pStyle w:val="ListBullet"/>
      </w:pPr>
      <w:r w:rsidRPr="006F50F7">
        <w:t>animal biology and husbandry requirements relevant to enclosures and exhibits</w:t>
      </w:r>
    </w:p>
    <w:p w:rsidR="00000000" w:rsidRPr="006F50F7" w:rsidP="006F50F7">
      <w:pPr>
        <w:pStyle w:val="ListBullet"/>
      </w:pPr>
      <w:r w:rsidRPr="006F50F7">
        <w:t>educational and interpretive functions of enclosures</w:t>
      </w:r>
    </w:p>
    <w:p w:rsidR="00000000" w:rsidRPr="006F50F7" w:rsidP="006F50F7">
      <w:pPr>
        <w:pStyle w:val="ListBullet"/>
      </w:pPr>
      <w:r w:rsidRPr="006F50F7">
        <w:t>environmental enrichment related to exhibit species</w:t>
      </w:r>
    </w:p>
    <w:p w:rsidR="00000000" w:rsidRPr="006F50F7" w:rsidP="006F50F7">
      <w:pPr>
        <w:pStyle w:val="ListBullet"/>
      </w:pPr>
      <w:r w:rsidRPr="006F50F7">
        <w:t>principles of enclo</w:t>
      </w:r>
      <w:r w:rsidRPr="006F50F7">
        <w:t>sure landscaping and horticulture, including basic working knowledge of exhibit plants and weeds</w:t>
      </w:r>
    </w:p>
    <w:p w:rsidR="00000000" w:rsidRPr="006F50F7" w:rsidP="006F50F7">
      <w:pPr>
        <w:pStyle w:val="ListBullet"/>
      </w:pPr>
      <w:r w:rsidRPr="006F50F7">
        <w:t>principles and protocols for enclosure or exhibit design, including aesthetics, function and effects of introduced fixtures and features</w:t>
      </w:r>
    </w:p>
    <w:p w:rsidR="00000000" w:rsidRPr="006F50F7" w:rsidP="006F50F7">
      <w:pPr>
        <w:pStyle w:val="ListBullet"/>
      </w:pPr>
      <w:r w:rsidRPr="006F50F7">
        <w:t>principles of animal w</w:t>
      </w:r>
      <w:r w:rsidRPr="006F50F7">
        <w:t>elfare and ethics</w:t>
      </w:r>
    </w:p>
    <w:p w:rsidR="00000000" w:rsidRPr="006F50F7" w:rsidP="006F50F7">
      <w:pPr>
        <w:pStyle w:val="ListBullet"/>
      </w:pPr>
      <w:r w:rsidRPr="006F50F7">
        <w:t>principles of naturalistic landscaping for enclosures and exhibits</w:t>
      </w:r>
    </w:p>
    <w:p w:rsidR="00000000" w:rsidRPr="006F50F7" w:rsidP="006F50F7">
      <w:pPr>
        <w:pStyle w:val="ListBullet"/>
      </w:pPr>
      <w:r w:rsidRPr="006F50F7">
        <w:t>relevant federal and state or territory legislation and codes of practice and facility policies and procedures, including WHS, animal welfare, ethics, hygiene standards an</w:t>
      </w:r>
      <w:r w:rsidRPr="006F50F7">
        <w:t>d other industry guidelines</w:t>
      </w:r>
    </w:p>
    <w:p w:rsidR="00000000" w:rsidRPr="006F50F7" w:rsidP="006F50F7">
      <w:pPr>
        <w:pStyle w:val="ListBullet"/>
      </w:pPr>
      <w:r w:rsidRPr="006F50F7">
        <w:t>security control principles</w:t>
      </w:r>
    </w:p>
    <w:p w:rsidR="00000000" w:rsidRPr="006F50F7" w:rsidP="006F50F7">
      <w:pPr>
        <w:pStyle w:val="ListBullet"/>
      </w:pPr>
      <w:r w:rsidRPr="006F50F7">
        <w:t>specialist enclosures for different animals.</w:t>
      </w:r>
    </w:p>
    <w:p w:rsidR="00000000" w:rsidRPr="006F50F7" w:rsidP="006F50F7">
      <w:pPr>
        <w:pStyle w:val="AllowPageBreak"/>
      </w:pPr>
    </w:p>
    <w:p w:rsidR="00000000" w:rsidRPr="006F50F7" w:rsidP="006F50F7">
      <w:pPr>
        <w:pStyle w:val="Heading1"/>
      </w:pPr>
      <w:bookmarkStart w:id="12" w:name="O_856995"/>
      <w:bookmarkEnd w:id="12"/>
      <w:r w:rsidRPr="006F50F7">
        <w:t>Assessment Conditions</w:t>
      </w:r>
    </w:p>
    <w:p w:rsidR="00000000" w:rsidRPr="006F50F7" w:rsidP="00424465">
      <w:pPr>
        <w:pStyle w:val="BodyText"/>
      </w:pPr>
      <w:r w:rsidRPr="006F50F7">
        <w:t xml:space="preserve">Assessment of skills must take place under the following conditions: </w:t>
      </w:r>
    </w:p>
    <w:p w:rsidR="00000000" w:rsidRPr="006F50F7" w:rsidP="006F50F7">
      <w:pPr>
        <w:pStyle w:val="ListBullet"/>
      </w:pPr>
      <w:r w:rsidRPr="006F50F7">
        <w:t>physical conditions:</w:t>
      </w:r>
    </w:p>
    <w:p w:rsidR="00000000" w:rsidRPr="006F50F7" w:rsidP="006F50F7">
      <w:pPr>
        <w:pStyle w:val="ListBullet2"/>
      </w:pPr>
      <w:r w:rsidRPr="006F50F7">
        <w:t>a workplace or an environment that accurately reflects a real workplace setting</w:t>
      </w:r>
    </w:p>
    <w:p w:rsidR="00000000" w:rsidRPr="006F50F7" w:rsidP="006F50F7">
      <w:pPr>
        <w:pStyle w:val="ListBullet"/>
      </w:pPr>
      <w:r w:rsidRPr="006F50F7">
        <w:t>resources, equipment and materials:</w:t>
      </w:r>
    </w:p>
    <w:p w:rsidR="00000000" w:rsidRPr="006F50F7" w:rsidP="006F50F7">
      <w:pPr>
        <w:pStyle w:val="ListBullet2"/>
      </w:pPr>
      <w:r w:rsidRPr="006F50F7">
        <w:t>a range of animals and enclosures</w:t>
      </w:r>
    </w:p>
    <w:p w:rsidR="00000000" w:rsidRPr="006F50F7" w:rsidP="006F50F7">
      <w:pPr>
        <w:pStyle w:val="ListBullet2"/>
      </w:pPr>
      <w:r w:rsidRPr="006F50F7">
        <w:t>equipment and resources appropriate to work undertaken in a captive animal facility</w:t>
      </w:r>
    </w:p>
    <w:p w:rsidR="00000000" w:rsidRPr="006F50F7" w:rsidP="006F50F7">
      <w:pPr>
        <w:pStyle w:val="ListBullet"/>
      </w:pPr>
      <w:r w:rsidRPr="006F50F7">
        <w:t>specifications:</w:t>
      </w:r>
    </w:p>
    <w:p w:rsidR="00000000" w:rsidRPr="006F50F7" w:rsidP="006F50F7">
      <w:pPr>
        <w:pStyle w:val="ListBullet2"/>
      </w:pPr>
      <w:r w:rsidRPr="006F50F7">
        <w:t>ac</w:t>
      </w:r>
      <w:r w:rsidRPr="006F50F7">
        <w:t xml:space="preserve">cess to organisational policies and procedures </w:t>
      </w:r>
    </w:p>
    <w:p w:rsidR="00000000" w:rsidRPr="006F50F7" w:rsidP="006F50F7">
      <w:pPr>
        <w:pStyle w:val="ListBullet2"/>
      </w:pPr>
      <w:r w:rsidRPr="006F50F7">
        <w:t>current WHS legislation and regulations and relevant state/territory animal welfare regulations.</w:t>
      </w:r>
    </w:p>
    <w:p w:rsidR="00000000" w:rsidRPr="006F50F7" w:rsidP="00424465">
      <w:pPr>
        <w:pStyle w:val="BodyText"/>
      </w:pPr>
      <w:r w:rsidRPr="006F50F7">
        <w:t>Assessors of this unit must satisfy the requirements for assessors in applicable vocational education and train</w:t>
      </w:r>
      <w:r w:rsidRPr="006F50F7">
        <w:t>ing legislation, frameworks and/or standards.</w:t>
      </w:r>
    </w:p>
    <w:p w:rsidR="00000000" w:rsidRPr="006F50F7" w:rsidP="006F50F7">
      <w:pPr>
        <w:pStyle w:val="Heading1"/>
      </w:pPr>
      <w:bookmarkStart w:id="13" w:name="O_856998"/>
      <w:bookmarkEnd w:id="13"/>
      <w:r w:rsidRPr="006F50F7">
        <w:t>Links</w:t>
      </w:r>
    </w:p>
    <w:p w:rsidR="00000000" w:rsidRPr="006F50F7" w:rsidP="00424465">
      <w:pPr>
        <w:pStyle w:val="BodyText"/>
      </w:pPr>
      <w:r w:rsidRPr="006F50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5089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F50F7" w:rsidP="006F50F7"/>
    <w:sectPr w:rsidSect="006F50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F7" w:rsidRPr="00424465" w:rsidP="00424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65" w:rsidP="006F5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465" w:rsidP="006F5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4465" w:rsidP="006F50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F7" w:rsidP="006F5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4465">
      <w:t>Approved</w:t>
    </w:r>
    <w:r w:rsidR="004244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44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4465">
      <w:rPr>
        <w:noProof/>
      </w:rPr>
      <w:t>4</w:t>
    </w:r>
    <w:r>
      <w:rPr>
        <w:noProof/>
      </w:rPr>
      <w:fldChar w:fldCharType="end"/>
    </w:r>
  </w:p>
  <w:p w:rsidR="006F50F7" w:rsidP="006F5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44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4465">
      <w:t>Skills Insight</w:t>
    </w:r>
    <w:r w:rsidR="00424465">
      <w:fldChar w:fldCharType="end"/>
    </w:r>
  </w:p>
  <w:p w:rsidR="006F50F7" w:rsidP="006F5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0F7" w:rsidRPr="00424465" w:rsidP="00424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65" w:rsidRPr="002D2AF8" w:rsidP="006F5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ACMCAN310 Assist with exhibit design and renovation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4465" w:rsidP="006F50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F7" w:rsidRPr="002D2AF8" w:rsidP="006F5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4465">
      <w:t>ACMCAN310 Assist with exhibit design and renovation planning</w:t>
    </w:r>
    <w:r w:rsidR="004244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4465">
      <w:rPr>
        <w:noProof/>
      </w:rPr>
      <w:t>2 March 2025</w:t>
    </w:r>
    <w:r>
      <w:fldChar w:fldCharType="end"/>
    </w:r>
  </w:p>
  <w:p w:rsidR="006F50F7" w:rsidP="006F5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603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CE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68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0F7"/>
  </w:style>
  <w:style w:type="character" w:customStyle="1" w:styleId="Heading1Char">
    <w:name w:val="Heading 1 Char"/>
    <w:basedOn w:val="DefaultParagraphFont"/>
    <w:link w:val="Heading1"/>
    <w:rsid w:val="006F5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0F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F5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0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0F7"/>
    <w:rPr>
      <w:b/>
      <w:spacing w:val="0"/>
    </w:rPr>
  </w:style>
  <w:style w:type="paragraph" w:styleId="ListBullet2">
    <w:name w:val="List Bullet 2"/>
    <w:basedOn w:val="List2"/>
    <w:rsid w:val="006F50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50F7"/>
    <w:rPr>
      <w:i/>
    </w:rPr>
  </w:style>
  <w:style w:type="paragraph" w:customStyle="1" w:styleId="SuperHeading">
    <w:name w:val="SuperHeading"/>
    <w:basedOn w:val="Normal"/>
    <w:rsid w:val="006F5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5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5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0F7"/>
  </w:style>
  <w:style w:type="paragraph" w:styleId="TableofFigures">
    <w:name w:val="table of figures"/>
    <w:basedOn w:val="Normal"/>
    <w:next w:val="Normal"/>
    <w:semiHidden/>
    <w:rsid w:val="006F5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0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50F7"/>
    <w:rPr>
      <w:rFonts w:ascii="Wingdings" w:hAnsi="Wingdings"/>
    </w:rPr>
  </w:style>
  <w:style w:type="paragraph" w:customStyle="1" w:styleId="TableHeading">
    <w:name w:val="Table Heading"/>
    <w:basedOn w:val="HeadingBase"/>
    <w:rsid w:val="006F5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0F7"/>
    <w:rPr>
      <w:color w:val="0033CC"/>
      <w:u w:val="none"/>
    </w:rPr>
  </w:style>
  <w:style w:type="paragraph" w:customStyle="1" w:styleId="BodyTextRight">
    <w:name w:val="Body Text Right"/>
    <w:basedOn w:val="BodyText"/>
    <w:rsid w:val="006F5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0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0F7"/>
    <w:rPr>
      <w:sz w:val="32"/>
    </w:rPr>
  </w:style>
  <w:style w:type="paragraph" w:customStyle="1" w:styleId="HeadingProcedure">
    <w:name w:val="Heading Procedure"/>
    <w:basedOn w:val="HeadingBase"/>
    <w:next w:val="Normal"/>
    <w:rsid w:val="006F5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0F7"/>
    <w:pPr>
      <w:spacing w:before="60" w:after="60"/>
    </w:pPr>
  </w:style>
  <w:style w:type="paragraph" w:styleId="ListContinue">
    <w:name w:val="List Continue"/>
    <w:basedOn w:val="List"/>
    <w:rsid w:val="006F50F7"/>
    <w:pPr>
      <w:ind w:firstLine="0"/>
    </w:pPr>
  </w:style>
  <w:style w:type="paragraph" w:customStyle="1" w:styleId="ListNote">
    <w:name w:val="List Note"/>
    <w:basedOn w:val="List"/>
    <w:rsid w:val="006F5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0F7"/>
    <w:rPr>
      <w:rFonts w:ascii="Courier New" w:hAnsi="Courier New"/>
    </w:rPr>
  </w:style>
  <w:style w:type="paragraph" w:customStyle="1" w:styleId="NoteBullet">
    <w:name w:val="Note Bullet"/>
    <w:basedOn w:val="Note"/>
    <w:rsid w:val="006F5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0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5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0F7"/>
    <w:rPr>
      <w:b/>
      <w:smallCaps/>
    </w:rPr>
  </w:style>
  <w:style w:type="paragraph" w:customStyle="1" w:styleId="TableListNumber">
    <w:name w:val="Table List Number"/>
    <w:basedOn w:val="ListNumber"/>
    <w:rsid w:val="006F5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0F7"/>
    <w:pPr>
      <w:numPr>
        <w:numId w:val="9"/>
      </w:numPr>
    </w:pPr>
  </w:style>
  <w:style w:type="paragraph" w:customStyle="1" w:styleId="ListAlpha2">
    <w:name w:val="List Alpha 2"/>
    <w:basedOn w:val="List2"/>
    <w:rsid w:val="006F50F7"/>
    <w:pPr>
      <w:numPr>
        <w:numId w:val="8"/>
      </w:numPr>
    </w:pPr>
  </w:style>
  <w:style w:type="paragraph" w:styleId="List2">
    <w:name w:val="List 2"/>
    <w:basedOn w:val="BodyText"/>
    <w:rsid w:val="006F5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0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0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50F7"/>
    <w:pPr>
      <w:numPr>
        <w:numId w:val="4"/>
      </w:numPr>
    </w:pPr>
  </w:style>
  <w:style w:type="paragraph" w:styleId="ListContinue2">
    <w:name w:val="List Continue 2"/>
    <w:basedOn w:val="List2"/>
    <w:rsid w:val="006F50F7"/>
    <w:pPr>
      <w:ind w:firstLine="0"/>
    </w:pPr>
  </w:style>
  <w:style w:type="paragraph" w:styleId="ListContinue3">
    <w:name w:val="List Continue 3"/>
    <w:basedOn w:val="List3"/>
    <w:rsid w:val="006F50F7"/>
    <w:pPr>
      <w:ind w:left="1021" w:firstLine="0"/>
    </w:pPr>
  </w:style>
  <w:style w:type="paragraph" w:styleId="ListContinue4">
    <w:name w:val="List Continue 4"/>
    <w:basedOn w:val="List4"/>
    <w:rsid w:val="006F50F7"/>
    <w:pPr>
      <w:ind w:firstLine="0"/>
    </w:pPr>
  </w:style>
  <w:style w:type="paragraph" w:styleId="ListContinue5">
    <w:name w:val="List Continue 5"/>
    <w:basedOn w:val="List5"/>
    <w:rsid w:val="006F50F7"/>
    <w:pPr>
      <w:ind w:firstLine="0"/>
    </w:pPr>
  </w:style>
  <w:style w:type="paragraph" w:styleId="ListNumber3">
    <w:name w:val="List Number 3"/>
    <w:basedOn w:val="List3"/>
    <w:rsid w:val="006F50F7"/>
    <w:pPr>
      <w:numPr>
        <w:numId w:val="5"/>
      </w:numPr>
    </w:pPr>
  </w:style>
  <w:style w:type="paragraph" w:styleId="ListNumber4">
    <w:name w:val="List Number 4"/>
    <w:basedOn w:val="List4"/>
    <w:rsid w:val="006F50F7"/>
    <w:pPr>
      <w:numPr>
        <w:numId w:val="6"/>
      </w:numPr>
    </w:pPr>
  </w:style>
  <w:style w:type="paragraph" w:styleId="ListNumber5">
    <w:name w:val="List Number 5"/>
    <w:basedOn w:val="List5"/>
    <w:rsid w:val="006F50F7"/>
    <w:pPr>
      <w:numPr>
        <w:numId w:val="7"/>
      </w:numPr>
    </w:pPr>
  </w:style>
  <w:style w:type="paragraph" w:styleId="BlockText">
    <w:name w:val="Block Text"/>
    <w:basedOn w:val="Normal"/>
    <w:rsid w:val="006F5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0F7"/>
    <w:rPr>
      <w:sz w:val="16"/>
      <w:vertAlign w:val="superscript"/>
    </w:rPr>
  </w:style>
  <w:style w:type="character" w:customStyle="1" w:styleId="Symbols">
    <w:name w:val="Symbols"/>
    <w:basedOn w:val="DefaultParagraphFont"/>
    <w:rsid w:val="006F50F7"/>
    <w:rPr>
      <w:rFonts w:ascii="Symbol" w:hAnsi="Symbol"/>
    </w:rPr>
  </w:style>
  <w:style w:type="character" w:customStyle="1" w:styleId="MenuOptions">
    <w:name w:val="Menu Options"/>
    <w:basedOn w:val="DefaultParagraphFont"/>
    <w:rsid w:val="006F5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0F7"/>
    <w:rPr>
      <w:b/>
    </w:rPr>
  </w:style>
  <w:style w:type="character" w:customStyle="1" w:styleId="Underlined">
    <w:name w:val="Underlined"/>
    <w:basedOn w:val="DefaultParagraphFont"/>
    <w:rsid w:val="006F50F7"/>
    <w:rPr>
      <w:u w:val="single"/>
    </w:rPr>
  </w:style>
  <w:style w:type="paragraph" w:customStyle="1" w:styleId="TableBodyTextRight">
    <w:name w:val="Table Body Text Right"/>
    <w:basedOn w:val="TableBodyText"/>
    <w:rsid w:val="006F5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0F7"/>
    <w:rPr>
      <w:sz w:val="18"/>
    </w:rPr>
  </w:style>
  <w:style w:type="paragraph" w:customStyle="1" w:styleId="BodySmallRight">
    <w:name w:val="Body Small Right"/>
    <w:basedOn w:val="BodyTextRight"/>
    <w:rsid w:val="006F50F7"/>
    <w:rPr>
      <w:sz w:val="18"/>
      <w:szCs w:val="18"/>
    </w:rPr>
  </w:style>
  <w:style w:type="paragraph" w:customStyle="1" w:styleId="MarginEdition">
    <w:name w:val="Margin Edition"/>
    <w:basedOn w:val="MarginNote"/>
    <w:rsid w:val="006F5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0F7"/>
    <w:rPr>
      <w:sz w:val="2"/>
      <w:szCs w:val="2"/>
    </w:rPr>
  </w:style>
  <w:style w:type="character" w:customStyle="1" w:styleId="Small">
    <w:name w:val="Small"/>
    <w:basedOn w:val="DefaultParagraphFont"/>
    <w:rsid w:val="006F50F7"/>
    <w:rPr>
      <w:sz w:val="16"/>
    </w:rPr>
  </w:style>
  <w:style w:type="paragraph" w:customStyle="1" w:styleId="WideTable">
    <w:name w:val="Wide Table"/>
    <w:basedOn w:val="Normal"/>
    <w:rsid w:val="006F5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0F7"/>
  </w:style>
  <w:style w:type="paragraph" w:styleId="Quote">
    <w:name w:val="Quote"/>
    <w:basedOn w:val="Heading1"/>
    <w:link w:val="QuoteChar"/>
    <w:qFormat/>
    <w:rsid w:val="006F5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0F7"/>
    <w:pPr>
      <w:pageBreakBefore/>
    </w:pPr>
  </w:style>
  <w:style w:type="paragraph" w:customStyle="1" w:styleId="Border">
    <w:name w:val="Border"/>
    <w:basedOn w:val="Normal"/>
    <w:qFormat/>
    <w:rsid w:val="006F5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0F7"/>
    <w:rPr>
      <w:u w:val="single"/>
    </w:rPr>
  </w:style>
  <w:style w:type="character" w:customStyle="1" w:styleId="BoldandItalics">
    <w:name w:val="Bold and Italics"/>
    <w:qFormat/>
    <w:rsid w:val="006F50F7"/>
    <w:rPr>
      <w:b/>
      <w:i/>
      <w:u w:val="none"/>
    </w:rPr>
  </w:style>
  <w:style w:type="paragraph" w:styleId="BalloonText">
    <w:name w:val="Balloon Text"/>
    <w:basedOn w:val="Normal"/>
    <w:link w:val="BalloonTextChar"/>
    <w:rsid w:val="006F5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0F7"/>
    <w:pPr>
      <w:spacing w:before="0" w:after="0"/>
    </w:pPr>
  </w:style>
  <w:style w:type="paragraph" w:customStyle="1" w:styleId="BodyTextBold">
    <w:name w:val="Body Text Bold"/>
    <w:basedOn w:val="BodyText"/>
    <w:qFormat/>
    <w:rsid w:val="006F50F7"/>
    <w:rPr>
      <w:b/>
    </w:rPr>
  </w:style>
  <w:style w:type="character" w:styleId="Hyperlink">
    <w:name w:val="Hyperlink"/>
    <w:basedOn w:val="DefaultParagraphFont"/>
    <w:uiPriority w:val="99"/>
    <w:unhideWhenUsed/>
    <w:rsid w:val="00424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4877</Characters>
  <Application>Microsoft Office Word</Application>
  <DocSecurity>0</DocSecurity>
  <Lines>157</Lines>
  <Paragraphs>102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ACMCAN310 Assist with exhibit design and renovation planning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