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933A8" w:rsidP="007933A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ACMCAN305 Assist with capturing, restraining and moving animals</w:t>
      </w:r>
      <w:r>
        <w:fldChar w:fldCharType="end"/>
      </w:r>
    </w:p>
    <w:p w:rsidR="007933A8" w:rsidP="007933A8">
      <w:pPr>
        <w:pStyle w:val="Version"/>
        <w:sectPr w:rsidSect="00DD72C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D72C8" w:rsidP="00DD72C8">
      <w:pPr>
        <w:pStyle w:val="SuperHeading"/>
      </w:pPr>
      <w:r w:rsidRPr="00DD72C8">
        <w:t>ACMCAN305 Assist with capturing, restraining and moving animals</w:t>
      </w:r>
    </w:p>
    <w:p w:rsidR="00000000" w:rsidRPr="00DD72C8" w:rsidP="00DD72C8">
      <w:pPr>
        <w:pStyle w:val="Heading1"/>
      </w:pPr>
      <w:bookmarkStart w:id="1" w:name="O_856654"/>
      <w:bookmarkEnd w:id="1"/>
      <w:r w:rsidRPr="00DD72C8">
        <w:t>Modification History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25"/>
        <w:gridCol w:w="6626"/>
      </w:tblGrid>
      <w:tr w:rsidTr="00DD72C8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72C8" w:rsidP="00DD72C8">
            <w:pPr>
              <w:pStyle w:val="BodyText"/>
            </w:pPr>
            <w:r w:rsidRPr="00DD72C8">
              <w:rPr>
                <w:rStyle w:val="SpecialBold"/>
              </w:rPr>
              <w:t>Release</w:t>
            </w:r>
          </w:p>
        </w:tc>
        <w:tc>
          <w:tcPr>
            <w:tcW w:w="6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72C8">
            <w:pPr>
              <w:pStyle w:val="BodyText"/>
              <w:rPr>
                <w:lang w:val="en-NZ"/>
              </w:rPr>
            </w:pPr>
            <w:r w:rsidRPr="00DD72C8">
              <w:rPr>
                <w:rStyle w:val="SpecialBold"/>
              </w:rPr>
              <w:t>Comments</w:t>
            </w:r>
          </w:p>
        </w:tc>
      </w:tr>
      <w:tr w:rsidTr="00DD72C8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72C8">
            <w:pPr>
              <w:pStyle w:val="BodyText"/>
              <w:rPr>
                <w:lang w:val="en-NZ"/>
              </w:rPr>
            </w:pPr>
            <w:r w:rsidRPr="00DD72C8">
              <w:t>Release 1</w:t>
            </w:r>
          </w:p>
        </w:tc>
        <w:tc>
          <w:tcPr>
            <w:tcW w:w="6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72C8" w:rsidP="00DD72C8">
            <w:pPr>
              <w:pStyle w:val="BodyText"/>
            </w:pPr>
            <w:r w:rsidRPr="00DD72C8">
              <w:t>This version released with ACM Animal Care and Management Training Package Version 1.0.</w:t>
            </w:r>
          </w:p>
        </w:tc>
      </w:tr>
    </w:tbl>
    <w:p w:rsidR="00000000" w:rsidRPr="00DD72C8" w:rsidP="00DD72C8">
      <w:pPr>
        <w:pStyle w:val="BodyText"/>
      </w:pPr>
    </w:p>
    <w:p w:rsidR="00000000" w:rsidRPr="00DD72C8" w:rsidP="00DD72C8">
      <w:pPr>
        <w:pStyle w:val="AllowPageBreak"/>
      </w:pPr>
    </w:p>
    <w:p w:rsidR="00000000" w:rsidRPr="00DD72C8" w:rsidP="00DD72C8">
      <w:pPr>
        <w:pStyle w:val="Heading1"/>
      </w:pPr>
      <w:bookmarkStart w:id="2" w:name="O_856655"/>
      <w:bookmarkEnd w:id="2"/>
      <w:r w:rsidRPr="00DD72C8">
        <w:t>Application</w:t>
      </w:r>
    </w:p>
    <w:p w:rsidR="00000000" w:rsidRPr="00DD72C8" w:rsidP="007933A8">
      <w:pPr>
        <w:pStyle w:val="BodyText"/>
      </w:pPr>
      <w:r w:rsidRPr="00DD72C8">
        <w:t>This unit of competency describes the skills and knowledge required to assist with, capture and restrain animals that may need rescue and moving from one location to another.</w:t>
      </w:r>
    </w:p>
    <w:p w:rsidR="00000000" w:rsidRPr="00DD72C8" w:rsidP="007933A8">
      <w:pPr>
        <w:pStyle w:val="BodyText"/>
      </w:pPr>
      <w:r w:rsidRPr="00DD72C8">
        <w:t>This unit applies to wildlife animal keepers or carers who work in a captive ani</w:t>
      </w:r>
      <w:r w:rsidRPr="00DD72C8">
        <w:t>mal facility, under the direction of a more experienced staff member.</w:t>
      </w:r>
    </w:p>
    <w:p w:rsidR="00000000" w:rsidRPr="00DD72C8" w:rsidP="007933A8">
      <w:pPr>
        <w:pStyle w:val="BodyText"/>
      </w:pPr>
      <w:r w:rsidRPr="00DD72C8">
        <w:t>No occupational licensing, legislative or certification requirements are known to apply to this unit at the time of publication.</w:t>
      </w:r>
    </w:p>
    <w:p w:rsidR="00000000" w:rsidRPr="00DD72C8" w:rsidP="007933A8">
      <w:pPr>
        <w:pStyle w:val="BodyText"/>
      </w:pPr>
      <w:r w:rsidRPr="00DD72C8">
        <w:t xml:space="preserve">NOTE: The terms </w:t>
      </w:r>
      <w:r>
        <w:t>‘</w:t>
      </w:r>
      <w:r w:rsidRPr="00DD72C8">
        <w:t>occupational health and safety</w:t>
      </w:r>
      <w:r>
        <w:t>’</w:t>
      </w:r>
      <w:r w:rsidRPr="00DD72C8">
        <w:t xml:space="preserve"> (OHS) and </w:t>
      </w:r>
      <w:r>
        <w:t>‘</w:t>
      </w:r>
      <w:r w:rsidRPr="00DD72C8">
        <w:t>work health and safety</w:t>
      </w:r>
      <w:r>
        <w:t>’</w:t>
      </w:r>
      <w:r w:rsidRPr="00DD72C8">
        <w:t xml:space="preserve"> (WHS) generally have the same meaning in the workplace. In jurisdictions where the national model WHS legislation has not been implemented, RTOs must contextualise the unit</w:t>
      </w:r>
      <w:r w:rsidRPr="00DD72C8">
        <w:t xml:space="preserve"> of competency by referring to current OHS legislative requirements.</w:t>
      </w:r>
    </w:p>
    <w:p w:rsidR="00000000" w:rsidRPr="00DD72C8" w:rsidP="00DD72C8">
      <w:pPr>
        <w:pStyle w:val="Heading1"/>
      </w:pPr>
      <w:bookmarkStart w:id="3" w:name="O_856656"/>
      <w:bookmarkEnd w:id="3"/>
      <w:r w:rsidRPr="00DD72C8">
        <w:t>Pre-requisite Unit</w:t>
      </w:r>
    </w:p>
    <w:p w:rsidR="00000000" w:rsidRPr="00DD72C8" w:rsidP="007933A8">
      <w:pPr>
        <w:pStyle w:val="BodyText"/>
      </w:pPr>
      <w:r w:rsidRPr="00DD72C8">
        <w:t>Nil</w:t>
      </w:r>
    </w:p>
    <w:p w:rsidR="00000000" w:rsidRPr="00DD72C8" w:rsidP="00DD72C8">
      <w:pPr>
        <w:pStyle w:val="Heading1"/>
      </w:pPr>
      <w:bookmarkStart w:id="4" w:name="O_856658"/>
      <w:bookmarkEnd w:id="4"/>
      <w:r w:rsidRPr="00DD72C8">
        <w:t>Unit Sector</w:t>
      </w:r>
    </w:p>
    <w:p w:rsidR="00000000" w:rsidRPr="00DD72C8" w:rsidP="007933A8">
      <w:pPr>
        <w:pStyle w:val="BodyText"/>
      </w:pPr>
      <w:r w:rsidRPr="00DD72C8">
        <w:t>Captive Animals (CAN)</w:t>
      </w:r>
    </w:p>
    <w:p w:rsidR="00000000" w:rsidRPr="00DD72C8" w:rsidP="00DD72C8">
      <w:pPr>
        <w:pStyle w:val="Heading1"/>
      </w:pPr>
      <w:bookmarkStart w:id="5" w:name="O_856659"/>
      <w:bookmarkEnd w:id="5"/>
      <w:r w:rsidRPr="00DD72C8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3"/>
        <w:gridCol w:w="6946"/>
      </w:tblGrid>
      <w:tr w:rsidTr="007933A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72C8" w:rsidP="00DD72C8">
            <w:pPr>
              <w:pStyle w:val="BodyText"/>
            </w:pPr>
            <w:r w:rsidRPr="00DD72C8">
              <w:rPr>
                <w:rStyle w:val="SpecialBold"/>
              </w:rPr>
              <w:t>Element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72C8">
            <w:pPr>
              <w:pStyle w:val="BodyText"/>
              <w:rPr>
                <w:lang w:val="en-NZ"/>
              </w:rPr>
            </w:pPr>
            <w:r w:rsidRPr="00DD72C8">
              <w:rPr>
                <w:rStyle w:val="SpecialBold"/>
              </w:rPr>
              <w:t>Performance criteria</w:t>
            </w:r>
          </w:p>
        </w:tc>
      </w:tr>
      <w:tr w:rsidTr="007933A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3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72C8" w:rsidP="00DD72C8">
            <w:pPr>
              <w:pStyle w:val="BodyText"/>
            </w:pPr>
            <w:r w:rsidRPr="00DD72C8">
              <w:rPr>
                <w:rStyle w:val="Emphasis"/>
              </w:rPr>
              <w:t>Elements descri</w:t>
            </w:r>
            <w:r w:rsidRPr="00DD72C8">
              <w:rPr>
                <w:rStyle w:val="Emphasis"/>
              </w:rPr>
              <w:t xml:space="preserve">be the </w:t>
            </w:r>
            <w:r w:rsidRPr="00DD72C8">
              <w:rPr>
                <w:rStyle w:val="Emphasis"/>
              </w:rPr>
              <w:t>essential outcomes.</w:t>
            </w:r>
          </w:p>
        </w:tc>
        <w:tc>
          <w:tcPr>
            <w:tcW w:w="694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72C8">
            <w:pPr>
              <w:pStyle w:val="BodyText"/>
              <w:rPr>
                <w:lang w:val="en-NZ"/>
              </w:rPr>
            </w:pPr>
            <w:r w:rsidRPr="00DD72C8">
              <w:rPr>
                <w:rStyle w:val="Emphasis"/>
              </w:rPr>
              <w:t xml:space="preserve">Performance criteria describe the performance needed to demonstrate </w:t>
            </w:r>
            <w:r w:rsidRPr="00DD72C8">
              <w:rPr>
                <w:rStyle w:val="Emphasis"/>
              </w:rPr>
              <w:t>achievement of the element.</w:t>
            </w:r>
          </w:p>
        </w:tc>
      </w:tr>
      <w:tr w:rsidTr="007933A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72C8">
            <w:pPr>
              <w:pStyle w:val="BodyText"/>
              <w:rPr>
                <w:lang w:val="en-NZ"/>
              </w:rPr>
            </w:pPr>
            <w:r w:rsidRPr="00DD72C8">
              <w:t>1. Plan the capture and restraint of animals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72C8" w:rsidP="00DD72C8">
            <w:pPr>
              <w:pStyle w:val="BodyText"/>
            </w:pPr>
            <w:r w:rsidRPr="00DD72C8">
              <w:t>1.1 Confirm species of animal to be captured</w:t>
            </w:r>
          </w:p>
          <w:p w:rsidR="00000000" w:rsidRPr="00DD72C8" w:rsidP="00DD72C8">
            <w:pPr>
              <w:pStyle w:val="BodyText"/>
            </w:pPr>
            <w:r w:rsidRPr="00DD72C8">
              <w:t>1.2 Plan capture and restraint of animal</w:t>
            </w:r>
          </w:p>
          <w:p w:rsidR="00000000" w:rsidRPr="00DD72C8" w:rsidP="00DD72C8">
            <w:pPr>
              <w:pStyle w:val="BodyText"/>
            </w:pPr>
            <w:r w:rsidRPr="00DD72C8">
              <w:t>1.3 Confirm and allocate role of individuals involved in the capture</w:t>
            </w:r>
          </w:p>
          <w:p w:rsidR="00000000" w:rsidRPr="00DD72C8" w:rsidP="00DD72C8">
            <w:pPr>
              <w:pStyle w:val="BodyText"/>
            </w:pPr>
            <w:r w:rsidRPr="00DD72C8">
              <w:t>1.4 Identify and check capture equipment</w:t>
            </w:r>
          </w:p>
          <w:p w:rsidR="00000000" w:rsidP="00DD72C8">
            <w:pPr>
              <w:pStyle w:val="BodyText"/>
              <w:rPr>
                <w:lang w:val="en-NZ"/>
              </w:rPr>
            </w:pPr>
            <w:r w:rsidRPr="00DD72C8">
              <w:t>1.5 Review and follow WHS and emergency procedures relating to capture including risks when handling animals</w:t>
            </w:r>
          </w:p>
        </w:tc>
      </w:tr>
      <w:tr w:rsidTr="007933A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72C8">
            <w:pPr>
              <w:pStyle w:val="BodyText"/>
              <w:rPr>
                <w:lang w:val="en-NZ"/>
              </w:rPr>
            </w:pPr>
            <w:r w:rsidRPr="00DD72C8">
              <w:t>2. Capture and restrain animals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72C8" w:rsidP="00DD72C8">
            <w:pPr>
              <w:pStyle w:val="BodyText"/>
            </w:pPr>
            <w:r w:rsidRPr="00DD72C8">
              <w:t xml:space="preserve">2.1 </w:t>
            </w:r>
            <w:r w:rsidRPr="00DD72C8">
              <w:t>Use capture and restraint equipment in a safe and humane manner</w:t>
            </w:r>
          </w:p>
          <w:p w:rsidR="00000000" w:rsidRPr="00DD72C8" w:rsidP="00DD72C8">
            <w:pPr>
              <w:pStyle w:val="BodyText"/>
            </w:pPr>
            <w:r w:rsidRPr="00DD72C8">
              <w:t>2.2 Provide assistance to administer medication under a veterinarian’s supervision where appropriate</w:t>
            </w:r>
          </w:p>
          <w:p w:rsidR="00000000" w:rsidRPr="00DD72C8" w:rsidP="00DD72C8">
            <w:pPr>
              <w:pStyle w:val="BodyText"/>
            </w:pPr>
            <w:r w:rsidRPr="00DD72C8">
              <w:t>2.3 Monitor animals carefully for distress or injury</w:t>
            </w:r>
          </w:p>
          <w:p w:rsidR="00000000" w:rsidRPr="00DD72C8" w:rsidP="00DD72C8">
            <w:pPr>
              <w:pStyle w:val="BodyText"/>
            </w:pPr>
            <w:r w:rsidRPr="00DD72C8">
              <w:t>2.4 Dispose of dead animals if relevan</w:t>
            </w:r>
            <w:r w:rsidRPr="00DD72C8">
              <w:t>t according to workplace procedures</w:t>
            </w:r>
          </w:p>
          <w:p w:rsidR="00000000" w:rsidRPr="00DD72C8" w:rsidP="00DD72C8">
            <w:pPr>
              <w:pStyle w:val="BodyText"/>
            </w:pPr>
            <w:r w:rsidRPr="00DD72C8">
              <w:t>2.5 Clean, maintain and store capture and restraint equipment</w:t>
            </w:r>
          </w:p>
          <w:p w:rsidR="00000000" w:rsidP="00DD72C8">
            <w:pPr>
              <w:pStyle w:val="BodyText"/>
              <w:rPr>
                <w:lang w:val="en-NZ"/>
              </w:rPr>
            </w:pPr>
            <w:r w:rsidRPr="00DD72C8">
              <w:t>2.6 Conduct debriefing sessions with relevant personnel</w:t>
            </w:r>
          </w:p>
        </w:tc>
      </w:tr>
      <w:tr w:rsidTr="007933A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72C8">
            <w:pPr>
              <w:pStyle w:val="BodyText"/>
              <w:rPr>
                <w:lang w:val="en-NZ"/>
              </w:rPr>
            </w:pPr>
            <w:r w:rsidRPr="00DD72C8">
              <w:t>3. Assist with animal transportation requirements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72C8" w:rsidP="00DD72C8">
            <w:pPr>
              <w:pStyle w:val="BodyText"/>
            </w:pPr>
            <w:r w:rsidRPr="00DD72C8">
              <w:t>3.1 Prepare animals for transportation</w:t>
            </w:r>
          </w:p>
          <w:p w:rsidR="00000000" w:rsidRPr="00DD72C8" w:rsidP="00DD72C8">
            <w:pPr>
              <w:pStyle w:val="BodyText"/>
            </w:pPr>
            <w:r w:rsidRPr="00DD72C8">
              <w:t>3.2 Design, or select and prepare, transport containers appropriate to the species and to comply with appropriate live animal transport regulations</w:t>
            </w:r>
          </w:p>
          <w:p w:rsidR="00000000" w:rsidRPr="00DD72C8" w:rsidP="00DD72C8">
            <w:pPr>
              <w:pStyle w:val="BodyText"/>
            </w:pPr>
            <w:r w:rsidRPr="00DD72C8">
              <w:t>3.3 Follow protocols and procedures for shipment or transfer</w:t>
            </w:r>
          </w:p>
          <w:p w:rsidR="00000000" w:rsidRPr="00DD72C8" w:rsidP="00DD72C8">
            <w:pPr>
              <w:pStyle w:val="BodyText"/>
            </w:pPr>
            <w:r w:rsidRPr="00DD72C8">
              <w:t>3.4 Complete relevant documentation and reports</w:t>
            </w:r>
          </w:p>
        </w:tc>
      </w:tr>
    </w:tbl>
    <w:p w:rsidR="00000000" w:rsidRPr="00DD72C8" w:rsidP="00DD72C8">
      <w:pPr>
        <w:pStyle w:val="BodyText"/>
      </w:pPr>
    </w:p>
    <w:p w:rsidR="00000000" w:rsidRPr="00DD72C8" w:rsidP="00DD72C8">
      <w:pPr>
        <w:pStyle w:val="AllowPageBreak"/>
      </w:pPr>
    </w:p>
    <w:p w:rsidR="00000000" w:rsidRPr="00DD72C8" w:rsidP="00DD72C8">
      <w:pPr>
        <w:pStyle w:val="Heading1"/>
      </w:pPr>
      <w:bookmarkStart w:id="6" w:name="O_856660"/>
      <w:bookmarkEnd w:id="6"/>
      <w:r w:rsidRPr="00DD72C8">
        <w:t>Foundation Skills</w:t>
      </w:r>
    </w:p>
    <w:p w:rsidR="00000000" w:rsidRPr="007933A8" w:rsidP="007933A8">
      <w:pPr>
        <w:pStyle w:val="BodyText"/>
        <w:rPr>
          <w:i/>
        </w:rPr>
      </w:pPr>
      <w:r w:rsidRPr="007933A8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D72C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72C8" w:rsidP="00DD72C8">
            <w:pPr>
              <w:pStyle w:val="BodyText"/>
            </w:pPr>
            <w:r w:rsidRPr="00DD72C8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72C8">
            <w:pPr>
              <w:pStyle w:val="BodyText"/>
              <w:rPr>
                <w:lang w:val="en-NZ"/>
              </w:rPr>
            </w:pPr>
            <w:r w:rsidRPr="00DD72C8">
              <w:rPr>
                <w:rStyle w:val="SpecialBold"/>
              </w:rPr>
              <w:t>Description</w:t>
            </w:r>
          </w:p>
        </w:tc>
      </w:tr>
      <w:tr w:rsidTr="00DD72C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72C8">
            <w:pPr>
              <w:pStyle w:val="BodyText"/>
              <w:rPr>
                <w:lang w:val="en-NZ"/>
              </w:rPr>
            </w:pPr>
            <w:r w:rsidRPr="00DD72C8">
              <w:t>Oral co</w:t>
            </w:r>
            <w:r w:rsidRPr="00DD72C8">
              <w:t>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72C8">
            <w:pPr>
              <w:pStyle w:val="ListBullet"/>
              <w:rPr>
                <w:lang w:val="en-NZ"/>
              </w:rPr>
            </w:pPr>
            <w:r w:rsidRPr="00DD72C8">
              <w:t>Interact appropriately with a small group for debriefing</w:t>
            </w:r>
          </w:p>
        </w:tc>
      </w:tr>
      <w:tr w:rsidTr="00DD72C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72C8">
            <w:pPr>
              <w:pStyle w:val="BodyText"/>
              <w:rPr>
                <w:lang w:val="en-NZ"/>
              </w:rPr>
            </w:pPr>
            <w:r w:rsidRPr="00DD72C8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72C8" w:rsidP="00DD72C8">
            <w:pPr>
              <w:pStyle w:val="ListBullet"/>
            </w:pPr>
            <w:r w:rsidRPr="00DD72C8">
              <w:t>Anticipate problems that may arise with planned capture and restraint, and formulate solutions</w:t>
            </w:r>
          </w:p>
        </w:tc>
      </w:tr>
    </w:tbl>
    <w:p w:rsidR="00000000" w:rsidRPr="00DD72C8" w:rsidP="00DD72C8">
      <w:pPr>
        <w:pStyle w:val="BodyText"/>
      </w:pPr>
    </w:p>
    <w:p w:rsidR="00000000" w:rsidRPr="00DD72C8" w:rsidP="00DD72C8">
      <w:pPr>
        <w:pStyle w:val="AllowPageBreak"/>
      </w:pPr>
    </w:p>
    <w:p w:rsidR="00000000" w:rsidRPr="00DD72C8" w:rsidP="00DD72C8">
      <w:pPr>
        <w:pStyle w:val="Heading1"/>
      </w:pPr>
      <w:bookmarkStart w:id="7" w:name="O_856662"/>
      <w:bookmarkEnd w:id="7"/>
      <w:r w:rsidRPr="00DD72C8">
        <w:t>Unit Mapping Information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52"/>
        <w:gridCol w:w="2552"/>
        <w:gridCol w:w="2268"/>
        <w:gridCol w:w="2268"/>
      </w:tblGrid>
      <w:tr w:rsidTr="00DD72C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72C8" w:rsidP="00DD72C8">
            <w:pPr>
              <w:pStyle w:val="BodyText"/>
            </w:pPr>
            <w:r w:rsidRPr="00DD72C8">
              <w:rPr>
                <w:rStyle w:val="SpecialBold"/>
              </w:rPr>
              <w:t>Code and title current version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72C8" w:rsidP="00DD72C8">
            <w:pPr>
              <w:pStyle w:val="BodyText"/>
            </w:pPr>
            <w:r w:rsidRPr="00DD72C8">
              <w:rPr>
                <w:rStyle w:val="SpecialBold"/>
              </w:rPr>
              <w:t>Code and title previous 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72C8" w:rsidP="00DD72C8">
            <w:pPr>
              <w:pStyle w:val="BodyText"/>
            </w:pPr>
            <w:r w:rsidRPr="00DD72C8">
              <w:rPr>
                <w:rStyle w:val="SpecialBold"/>
              </w:rPr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72C8">
            <w:pPr>
              <w:pStyle w:val="BodyText"/>
              <w:rPr>
                <w:lang w:val="en-NZ"/>
              </w:rPr>
            </w:pPr>
            <w:r w:rsidRPr="00DD72C8">
              <w:rPr>
                <w:rStyle w:val="SpecialBold"/>
              </w:rPr>
              <w:t>Equivalence status</w:t>
            </w:r>
          </w:p>
        </w:tc>
      </w:tr>
      <w:tr w:rsidTr="00DD72C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72C8">
            <w:pPr>
              <w:pStyle w:val="BodyText"/>
              <w:rPr>
                <w:lang w:val="en-NZ"/>
              </w:rPr>
            </w:pPr>
            <w:r w:rsidRPr="00DD72C8">
              <w:t>ACMCAN305 Assist with capturing, restraining and moving animals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72C8">
            <w:pPr>
              <w:pStyle w:val="BodyText"/>
              <w:rPr>
                <w:lang w:val="en-NZ"/>
              </w:rPr>
            </w:pPr>
            <w:r w:rsidRPr="00DD72C8">
              <w:t>ACMCAN305A Assist with capturing, restraining and moving animals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72C8">
            <w:pPr>
              <w:pStyle w:val="BodyText"/>
              <w:rPr>
                <w:lang w:val="en-NZ"/>
              </w:rPr>
            </w:pPr>
            <w:r w:rsidRPr="00DD72C8">
              <w:t>Updated to meet Standards for Training Packages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72C8" w:rsidP="00DD72C8">
            <w:pPr>
              <w:pStyle w:val="BodyText"/>
            </w:pPr>
            <w:r w:rsidRPr="00DD72C8">
              <w:t xml:space="preserve">Equivalent unit </w:t>
            </w:r>
          </w:p>
          <w:p w:rsidR="00000000" w:rsidRPr="00DD72C8" w:rsidP="00DD72C8">
            <w:pPr>
              <w:pStyle w:val="BodyText"/>
            </w:pPr>
          </w:p>
        </w:tc>
      </w:tr>
    </w:tbl>
    <w:p w:rsidR="00000000" w:rsidRPr="00DD72C8" w:rsidP="00DD72C8">
      <w:pPr>
        <w:pStyle w:val="BodyText"/>
      </w:pPr>
    </w:p>
    <w:p w:rsidR="00000000" w:rsidRPr="00DD72C8" w:rsidP="00DD72C8">
      <w:pPr>
        <w:pStyle w:val="AllowPageBreak"/>
      </w:pPr>
    </w:p>
    <w:p w:rsidR="00000000" w:rsidRPr="00DD72C8" w:rsidP="00DD72C8">
      <w:pPr>
        <w:pStyle w:val="Heading1"/>
      </w:pPr>
      <w:bookmarkStart w:id="8" w:name="O_856669"/>
      <w:bookmarkEnd w:id="8"/>
      <w:r w:rsidRPr="00DD72C8">
        <w:t>Links</w:t>
      </w:r>
    </w:p>
    <w:p w:rsidR="00000000" w:rsidRPr="00DD72C8" w:rsidP="007933A8">
      <w:pPr>
        <w:pStyle w:val="BodyText"/>
      </w:pPr>
      <w:r w:rsidRPr="00DD72C8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"https://vetnet.education.gov.au/Pages/TrainingDocs.aspx?q=b75f4b23-54c9-4cc9-a5db-d3502d154103" </w:instrText>
      </w:r>
      <w:r>
        <w:fldChar w:fldCharType="separate"/>
      </w:r>
      <w:r w:rsidRPr="003C5129">
        <w:rPr>
          <w:rStyle w:val="Hyperlink"/>
        </w:rPr>
        <w:t>https://vetnet.education.gov.au/Pages/TrainingDocs.aspx?q=b75f4b23-54c9-4cc9-a5db-d3502d154103</w:t>
      </w:r>
      <w:r>
        <w:fldChar w:fldCharType="end"/>
      </w:r>
    </w:p>
    <w:p w:rsidR="00000000" w:rsidRPr="00DD72C8" w:rsidP="00DD72C8"/>
    <w:sectPr w:rsidSect="00DD72C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72C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72C8" w:rsidRPr="007933A8" w:rsidP="007933A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72C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33A8" w:rsidP="00DD72C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933A8" w:rsidP="00DD72C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7933A8" w:rsidP="00DD72C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72C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33A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D72C8" w:rsidRPr="007933A8" w:rsidP="007933A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72C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33A8" w:rsidRPr="002D2AF8" w:rsidP="00DD72C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ACMCAN305 Assist with capturing, restraining and moving animals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September 2019</w:t>
    </w:r>
    <w:r>
      <w:fldChar w:fldCharType="end"/>
    </w:r>
  </w:p>
  <w:p w:rsidR="007933A8" w:rsidP="00DD72C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3D2DDA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C1E1AC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72C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D72C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D72C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D72C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D72C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D72C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D72C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D72C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D72C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D72C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D72C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D72C8"/>
  </w:style>
  <w:style w:type="character" w:customStyle="1" w:styleId="Heading1Char">
    <w:name w:val="Heading 1 Char"/>
    <w:basedOn w:val="DefaultParagraphFont"/>
    <w:link w:val="Heading1"/>
    <w:rsid w:val="00DD72C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D72C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D72C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D72C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D72C8"/>
    <w:rPr>
      <w:b/>
      <w:spacing w:val="0"/>
    </w:rPr>
  </w:style>
  <w:style w:type="character" w:styleId="Emphasis">
    <w:name w:val="Emphasis"/>
    <w:basedOn w:val="DefaultParagraphFont"/>
    <w:qFormat/>
    <w:rsid w:val="00DD72C8"/>
    <w:rPr>
      <w:i/>
    </w:rPr>
  </w:style>
  <w:style w:type="paragraph" w:customStyle="1" w:styleId="SuperHeading">
    <w:name w:val="SuperHeading"/>
    <w:basedOn w:val="Normal"/>
    <w:rsid w:val="00DD72C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D72C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D72C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D72C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D72C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D72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D72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D72C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D72C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D72C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D72C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D72C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D72C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D72C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D72C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D72C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D72C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D72C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D72C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D72C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D72C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D72C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D72C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D72C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D72C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D72C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D72C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D72C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D72C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D72C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D72C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D72C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D72C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D72C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D72C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D72C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D72C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D72C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D72C8"/>
  </w:style>
  <w:style w:type="paragraph" w:styleId="TableofFigures">
    <w:name w:val="table of figures"/>
    <w:basedOn w:val="Normal"/>
    <w:next w:val="Normal"/>
    <w:semiHidden/>
    <w:rsid w:val="00DD72C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D72C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D72C8"/>
    <w:rPr>
      <w:rFonts w:ascii="Wingdings" w:hAnsi="Wingdings"/>
    </w:rPr>
  </w:style>
  <w:style w:type="paragraph" w:customStyle="1" w:styleId="TableHeading">
    <w:name w:val="Table Heading"/>
    <w:basedOn w:val="HeadingBase"/>
    <w:rsid w:val="00DD72C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D72C8"/>
    <w:rPr>
      <w:color w:val="0033CC"/>
      <w:u w:val="none"/>
    </w:rPr>
  </w:style>
  <w:style w:type="paragraph" w:customStyle="1" w:styleId="BodyTextRight">
    <w:name w:val="Body Text Right"/>
    <w:basedOn w:val="BodyText"/>
    <w:rsid w:val="00DD72C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D72C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D72C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D72C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D72C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D72C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D72C8"/>
    <w:rPr>
      <w:sz w:val="32"/>
    </w:rPr>
  </w:style>
  <w:style w:type="paragraph" w:customStyle="1" w:styleId="HeadingProcedure">
    <w:name w:val="Heading Procedure"/>
    <w:basedOn w:val="HeadingBase"/>
    <w:next w:val="Normal"/>
    <w:rsid w:val="00DD72C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D72C8"/>
    <w:pPr>
      <w:spacing w:before="60" w:after="60"/>
    </w:pPr>
  </w:style>
  <w:style w:type="paragraph" w:styleId="ListContinue">
    <w:name w:val="List Continue"/>
    <w:basedOn w:val="List"/>
    <w:rsid w:val="00DD72C8"/>
    <w:pPr>
      <w:ind w:firstLine="0"/>
    </w:pPr>
  </w:style>
  <w:style w:type="paragraph" w:customStyle="1" w:styleId="ListNote">
    <w:name w:val="List Note"/>
    <w:basedOn w:val="List"/>
    <w:rsid w:val="00DD72C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D72C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D72C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D72C8"/>
    <w:rPr>
      <w:rFonts w:ascii="Courier New" w:hAnsi="Courier New"/>
    </w:rPr>
  </w:style>
  <w:style w:type="paragraph" w:customStyle="1" w:styleId="NoteBullet">
    <w:name w:val="Note Bullet"/>
    <w:basedOn w:val="Note"/>
    <w:rsid w:val="00DD72C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D72C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D72C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D72C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D72C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D72C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D72C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D72C8"/>
    <w:rPr>
      <w:b/>
      <w:smallCaps/>
    </w:rPr>
  </w:style>
  <w:style w:type="paragraph" w:customStyle="1" w:styleId="TableListNumber">
    <w:name w:val="Table List Number"/>
    <w:basedOn w:val="ListNumber"/>
    <w:rsid w:val="00DD72C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D72C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D72C8"/>
    <w:pPr>
      <w:numPr>
        <w:numId w:val="8"/>
      </w:numPr>
    </w:pPr>
  </w:style>
  <w:style w:type="paragraph" w:customStyle="1" w:styleId="ListAlpha2">
    <w:name w:val="List Alpha 2"/>
    <w:basedOn w:val="List2"/>
    <w:rsid w:val="00DD72C8"/>
    <w:pPr>
      <w:numPr>
        <w:numId w:val="7"/>
      </w:numPr>
    </w:pPr>
  </w:style>
  <w:style w:type="paragraph" w:styleId="List2">
    <w:name w:val="List 2"/>
    <w:basedOn w:val="BodyText"/>
    <w:rsid w:val="00DD72C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D72C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D72C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D72C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D72C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D72C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D72C8"/>
    <w:pPr>
      <w:numPr>
        <w:numId w:val="3"/>
      </w:numPr>
    </w:pPr>
  </w:style>
  <w:style w:type="paragraph" w:styleId="ListContinue2">
    <w:name w:val="List Continue 2"/>
    <w:basedOn w:val="List2"/>
    <w:rsid w:val="00DD72C8"/>
    <w:pPr>
      <w:ind w:firstLine="0"/>
    </w:pPr>
  </w:style>
  <w:style w:type="paragraph" w:styleId="ListContinue3">
    <w:name w:val="List Continue 3"/>
    <w:basedOn w:val="List3"/>
    <w:rsid w:val="00DD72C8"/>
    <w:pPr>
      <w:ind w:left="1021" w:firstLine="0"/>
    </w:pPr>
  </w:style>
  <w:style w:type="paragraph" w:styleId="ListContinue4">
    <w:name w:val="List Continue 4"/>
    <w:basedOn w:val="List4"/>
    <w:rsid w:val="00DD72C8"/>
    <w:pPr>
      <w:ind w:firstLine="0"/>
    </w:pPr>
  </w:style>
  <w:style w:type="paragraph" w:styleId="ListContinue5">
    <w:name w:val="List Continue 5"/>
    <w:basedOn w:val="List5"/>
    <w:rsid w:val="00DD72C8"/>
    <w:pPr>
      <w:ind w:firstLine="0"/>
    </w:pPr>
  </w:style>
  <w:style w:type="paragraph" w:styleId="ListNumber3">
    <w:name w:val="List Number 3"/>
    <w:basedOn w:val="List3"/>
    <w:rsid w:val="00DD72C8"/>
    <w:pPr>
      <w:numPr>
        <w:numId w:val="4"/>
      </w:numPr>
    </w:pPr>
  </w:style>
  <w:style w:type="paragraph" w:styleId="ListNumber4">
    <w:name w:val="List Number 4"/>
    <w:basedOn w:val="List4"/>
    <w:rsid w:val="00DD72C8"/>
    <w:pPr>
      <w:numPr>
        <w:numId w:val="5"/>
      </w:numPr>
    </w:pPr>
  </w:style>
  <w:style w:type="paragraph" w:styleId="ListNumber5">
    <w:name w:val="List Number 5"/>
    <w:basedOn w:val="List5"/>
    <w:rsid w:val="00DD72C8"/>
    <w:pPr>
      <w:numPr>
        <w:numId w:val="6"/>
      </w:numPr>
    </w:pPr>
  </w:style>
  <w:style w:type="paragraph" w:styleId="BlockText">
    <w:name w:val="Block Text"/>
    <w:basedOn w:val="Normal"/>
    <w:rsid w:val="00DD72C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D72C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D72C8"/>
    <w:rPr>
      <w:sz w:val="16"/>
      <w:vertAlign w:val="superscript"/>
    </w:rPr>
  </w:style>
  <w:style w:type="character" w:customStyle="1" w:styleId="Symbols">
    <w:name w:val="Symbols"/>
    <w:basedOn w:val="DefaultParagraphFont"/>
    <w:rsid w:val="00DD72C8"/>
    <w:rPr>
      <w:rFonts w:ascii="Symbol" w:hAnsi="Symbol"/>
    </w:rPr>
  </w:style>
  <w:style w:type="character" w:customStyle="1" w:styleId="MenuOptions">
    <w:name w:val="Menu Options"/>
    <w:basedOn w:val="DefaultParagraphFont"/>
    <w:rsid w:val="00DD72C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D72C8"/>
    <w:rPr>
      <w:b/>
    </w:rPr>
  </w:style>
  <w:style w:type="character" w:customStyle="1" w:styleId="Underlined">
    <w:name w:val="Underlined"/>
    <w:basedOn w:val="DefaultParagraphFont"/>
    <w:rsid w:val="00DD72C8"/>
    <w:rPr>
      <w:u w:val="single"/>
    </w:rPr>
  </w:style>
  <w:style w:type="paragraph" w:customStyle="1" w:styleId="TableBodyTextRight">
    <w:name w:val="Table Body Text Right"/>
    <w:basedOn w:val="TableBodyText"/>
    <w:rsid w:val="00DD72C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D72C8"/>
    <w:rPr>
      <w:sz w:val="18"/>
    </w:rPr>
  </w:style>
  <w:style w:type="paragraph" w:customStyle="1" w:styleId="BodySmallRight">
    <w:name w:val="Body Small Right"/>
    <w:basedOn w:val="BodyTextRight"/>
    <w:rsid w:val="00DD72C8"/>
    <w:rPr>
      <w:sz w:val="18"/>
      <w:szCs w:val="18"/>
    </w:rPr>
  </w:style>
  <w:style w:type="paragraph" w:customStyle="1" w:styleId="MarginEdition">
    <w:name w:val="Margin Edition"/>
    <w:basedOn w:val="MarginNote"/>
    <w:rsid w:val="00DD72C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D72C8"/>
    <w:rPr>
      <w:sz w:val="2"/>
      <w:szCs w:val="2"/>
    </w:rPr>
  </w:style>
  <w:style w:type="character" w:customStyle="1" w:styleId="Small">
    <w:name w:val="Small"/>
    <w:basedOn w:val="DefaultParagraphFont"/>
    <w:rsid w:val="00DD72C8"/>
    <w:rPr>
      <w:sz w:val="16"/>
    </w:rPr>
  </w:style>
  <w:style w:type="paragraph" w:customStyle="1" w:styleId="WideTable">
    <w:name w:val="Wide Table"/>
    <w:basedOn w:val="Normal"/>
    <w:rsid w:val="00DD72C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D72C8"/>
  </w:style>
  <w:style w:type="paragraph" w:styleId="Quote">
    <w:name w:val="Quote"/>
    <w:basedOn w:val="Heading1"/>
    <w:link w:val="QuoteChar"/>
    <w:qFormat/>
    <w:rsid w:val="00DD72C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D72C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D72C8"/>
    <w:pPr>
      <w:pageBreakBefore/>
    </w:pPr>
  </w:style>
  <w:style w:type="paragraph" w:customStyle="1" w:styleId="Border">
    <w:name w:val="Border"/>
    <w:basedOn w:val="Normal"/>
    <w:qFormat/>
    <w:rsid w:val="00DD72C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D72C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D72C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D72C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D72C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D72C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D72C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D72C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D72C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D72C8"/>
    <w:rPr>
      <w:u w:val="single"/>
    </w:rPr>
  </w:style>
  <w:style w:type="character" w:customStyle="1" w:styleId="BoldandItalics">
    <w:name w:val="Bold and Italics"/>
    <w:qFormat/>
    <w:rsid w:val="00DD72C8"/>
    <w:rPr>
      <w:b/>
      <w:i/>
      <w:u w:val="none"/>
    </w:rPr>
  </w:style>
  <w:style w:type="paragraph" w:styleId="BalloonText">
    <w:name w:val="Balloon Text"/>
    <w:basedOn w:val="Normal"/>
    <w:link w:val="BalloonTextChar"/>
    <w:rsid w:val="00DD72C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D72C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D72C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D72C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D72C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D72C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D72C8"/>
    <w:pPr>
      <w:spacing w:before="0" w:after="0"/>
    </w:pPr>
  </w:style>
  <w:style w:type="paragraph" w:customStyle="1" w:styleId="BodyTextBold">
    <w:name w:val="Body Text Bold"/>
    <w:basedOn w:val="BodyText"/>
    <w:qFormat/>
    <w:rsid w:val="00DD72C8"/>
    <w:rPr>
      <w:b/>
    </w:rPr>
  </w:style>
  <w:style w:type="character" w:styleId="Hyperlink">
    <w:name w:val="Hyperlink"/>
    <w:basedOn w:val="DefaultParagraphFont"/>
    <w:uiPriority w:val="99"/>
    <w:unhideWhenUsed/>
    <w:rsid w:val="007933A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497</Words>
  <Characters>3078</Characters>
  <Application>Microsoft Office Word</Application>
  <DocSecurity>0</DocSecurity>
  <Lines>118</Lines>
  <Paragraphs>71</Paragraphs>
  <ScaleCrop>false</ScaleCrop>
  <Company>Author-it Software Corporation Ltd.</Company>
  <LinksUpToDate>false</LinksUpToDate>
  <CharactersWithSpaces>3504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ACMCAN305 Assist with capturing, restraining and moving animals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2019-09-10T07:22:00Z</dcterms:created>
  <dcterms:modified xsi:type="dcterms:W3CDTF">2019-09-10T07:22:00Z</dcterms:modified>
</cp:coreProperties>
</file>