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92F" w:rsidP="00096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ACMBEH501 Work collaboratively to manage complex animal behaviour</w:t>
      </w:r>
      <w:r>
        <w:fldChar w:fldCharType="end"/>
      </w:r>
    </w:p>
    <w:p w:rsidR="0009692F" w:rsidP="0009692F">
      <w:pPr>
        <w:pStyle w:val="Version"/>
        <w:sectPr w:rsidSect="00633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A79" w:rsidP="00633A79">
      <w:pPr>
        <w:pStyle w:val="SuperHeading"/>
      </w:pPr>
      <w:r w:rsidRPr="00633A79">
        <w:t>Assessment Requirements for ACMBEH501 Work collaboratively to manage complex animal behaviour</w:t>
      </w:r>
    </w:p>
    <w:p w:rsidR="00000000" w:rsidRPr="00633A79" w:rsidP="00633A79">
      <w:pPr>
        <w:pStyle w:val="Heading1"/>
      </w:pPr>
      <w:bookmarkStart w:id="1" w:name="O_1168144"/>
      <w:bookmarkEnd w:id="1"/>
      <w:r w:rsidRPr="00633A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3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79">
            <w:pPr>
              <w:pStyle w:val="BodyTextBold"/>
              <w:rPr>
                <w:lang w:val="en-NZ"/>
              </w:rPr>
            </w:pPr>
            <w:r w:rsidRPr="00633A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79">
            <w:pPr>
              <w:pStyle w:val="BodyTextBold"/>
              <w:rPr>
                <w:lang w:val="en-NZ"/>
              </w:rPr>
            </w:pPr>
            <w:r w:rsidRPr="00633A79">
              <w:t>Comments</w:t>
            </w:r>
          </w:p>
        </w:tc>
      </w:tr>
      <w:tr w:rsidTr="00633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79">
            <w:pPr>
              <w:pStyle w:val="BodyText"/>
              <w:rPr>
                <w:lang w:val="en-NZ"/>
              </w:rPr>
            </w:pPr>
            <w:r w:rsidRPr="00633A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79" w:rsidP="00633A79">
            <w:pPr>
              <w:pStyle w:val="BodyText"/>
            </w:pPr>
            <w:r w:rsidRPr="00633A79">
              <w:t>This version released with ACM Animal Care and Management Training Package Version 4.0.</w:t>
            </w:r>
          </w:p>
        </w:tc>
      </w:tr>
    </w:tbl>
    <w:p w:rsidR="00000000" w:rsidRPr="00633A79" w:rsidP="00633A79">
      <w:pPr>
        <w:pStyle w:val="BodyText"/>
      </w:pPr>
    </w:p>
    <w:p w:rsidR="00000000" w:rsidRPr="00633A79" w:rsidP="00633A79">
      <w:pPr>
        <w:pStyle w:val="AllowPageBreak"/>
      </w:pPr>
    </w:p>
    <w:p w:rsidR="00000000" w:rsidRPr="00633A79" w:rsidP="00633A79">
      <w:pPr>
        <w:pStyle w:val="Heading1"/>
      </w:pPr>
      <w:bookmarkStart w:id="2" w:name="O_1168145"/>
      <w:bookmarkEnd w:id="2"/>
      <w:r w:rsidRPr="00633A79">
        <w:t>Performance Evidence</w:t>
      </w:r>
    </w:p>
    <w:p w:rsidR="00000000" w:rsidRPr="00633A79" w:rsidP="0009692F">
      <w:pPr>
        <w:pStyle w:val="BodyText"/>
      </w:pPr>
      <w:r w:rsidRPr="00633A79">
        <w:t>An individual demonstrating competency must satisfy all of the elements and performance criteria in this unit.</w:t>
      </w:r>
    </w:p>
    <w:p w:rsidR="00000000" w:rsidRPr="00633A79" w:rsidP="0009692F">
      <w:pPr>
        <w:pStyle w:val="BodyText"/>
      </w:pPr>
      <w:r w:rsidRPr="00633A79">
        <w:t>There must be evidence that the individual has:</w:t>
      </w:r>
    </w:p>
    <w:p w:rsidR="00000000" w:rsidRPr="00633A79" w:rsidP="00633A79">
      <w:pPr>
        <w:pStyle w:val="ListBullet"/>
      </w:pPr>
      <w:r w:rsidRPr="00633A79">
        <w:t>researched strategies to address at least three different</w:t>
      </w:r>
      <w:r w:rsidRPr="00633A79">
        <w:t xml:space="preserve"> animal behavioural issues, selected from:</w:t>
      </w:r>
    </w:p>
    <w:p w:rsidR="00000000" w:rsidRPr="00633A79" w:rsidP="00633A79">
      <w:pPr>
        <w:pStyle w:val="ListBullet2"/>
      </w:pPr>
      <w:r w:rsidRPr="00633A79">
        <w:t>fear</w:t>
      </w:r>
    </w:p>
    <w:p w:rsidR="00000000" w:rsidRPr="00633A79" w:rsidP="00633A79">
      <w:pPr>
        <w:pStyle w:val="ListBullet2"/>
      </w:pPr>
      <w:r w:rsidRPr="00633A79">
        <w:t>anxiety</w:t>
      </w:r>
    </w:p>
    <w:p w:rsidR="00000000" w:rsidRPr="00633A79" w:rsidP="00633A79">
      <w:pPr>
        <w:pStyle w:val="ListBullet2"/>
      </w:pPr>
      <w:r w:rsidRPr="00633A79">
        <w:t>aggression towards humans or other animals</w:t>
      </w:r>
    </w:p>
    <w:p w:rsidR="00000000" w:rsidRPr="00633A79" w:rsidP="00633A79">
      <w:pPr>
        <w:pStyle w:val="ListBullet2"/>
      </w:pPr>
      <w:r w:rsidRPr="00633A79">
        <w:t xml:space="preserve">predation </w:t>
      </w:r>
    </w:p>
    <w:p w:rsidR="00000000" w:rsidRPr="00633A79" w:rsidP="00633A79">
      <w:pPr>
        <w:pStyle w:val="ListBullet2"/>
      </w:pPr>
      <w:r w:rsidRPr="00633A79">
        <w:t>behaviour problem with another medical basis</w:t>
      </w:r>
    </w:p>
    <w:p w:rsidR="00000000" w:rsidRPr="00633A79" w:rsidP="00633A79">
      <w:pPr>
        <w:pStyle w:val="ListBullet2"/>
      </w:pPr>
      <w:r w:rsidRPr="00633A79">
        <w:t>repetitive behaviours (stereotypies)</w:t>
      </w:r>
    </w:p>
    <w:p w:rsidR="00000000" w:rsidRPr="00633A79" w:rsidP="00633A79">
      <w:pPr>
        <w:pStyle w:val="ListBullet2"/>
      </w:pPr>
      <w:r w:rsidRPr="00633A79">
        <w:t>reactivity</w:t>
      </w:r>
    </w:p>
    <w:p w:rsidR="00000000" w:rsidRPr="00633A79" w:rsidP="00633A79">
      <w:pPr>
        <w:pStyle w:val="ListBullet"/>
      </w:pPr>
      <w:r w:rsidRPr="00633A79">
        <w:t>developed, implemented and evaluated a training and behaviour change plan to address the three different behavioural issues selected above, including:</w:t>
      </w:r>
    </w:p>
    <w:p w:rsidR="00000000" w:rsidRPr="00633A79" w:rsidP="00633A79">
      <w:pPr>
        <w:pStyle w:val="ListBullet2"/>
      </w:pPr>
      <w:r w:rsidRPr="00633A79">
        <w:t>one working collaboratively with a behaviour veterinarian or other qualified professional</w:t>
      </w:r>
    </w:p>
    <w:p w:rsidR="00000000" w:rsidRPr="00633A79" w:rsidP="00633A79">
      <w:pPr>
        <w:pStyle w:val="ListBullet2"/>
      </w:pPr>
      <w:r w:rsidRPr="00633A79">
        <w:t>one working di</w:t>
      </w:r>
      <w:r w:rsidRPr="00633A79">
        <w:t>rectly with an individual client.</w:t>
      </w:r>
    </w:p>
    <w:p w:rsidR="00000000" w:rsidRPr="00633A79" w:rsidP="00633A79">
      <w:pPr>
        <w:pStyle w:val="AllowPageBreak"/>
      </w:pPr>
    </w:p>
    <w:p w:rsidR="00000000" w:rsidRPr="00633A79" w:rsidP="00633A79">
      <w:pPr>
        <w:pStyle w:val="Heading1"/>
      </w:pPr>
      <w:bookmarkStart w:id="3" w:name="O_1168146"/>
      <w:bookmarkEnd w:id="3"/>
      <w:r w:rsidRPr="00633A79">
        <w:t>Knowledge Evidence</w:t>
      </w:r>
    </w:p>
    <w:p w:rsidR="00000000" w:rsidRPr="00633A79" w:rsidP="0009692F">
      <w:pPr>
        <w:pStyle w:val="BodyText"/>
      </w:pPr>
      <w:r w:rsidRPr="00633A79">
        <w:t>An individual must be able to demonstrate the knowledge required to perform the tasks outlined in the elements and performance criteria of this unit. This includes knowledge of:</w:t>
      </w:r>
    </w:p>
    <w:p w:rsidR="00000000" w:rsidRPr="00633A79" w:rsidP="00633A79">
      <w:pPr>
        <w:pStyle w:val="ListBullet"/>
      </w:pPr>
      <w:r w:rsidRPr="00633A79">
        <w:t>profe</w:t>
      </w:r>
      <w:r w:rsidRPr="00633A79">
        <w:t>ssional ethics for work in animal training and behaviour sector, including:</w:t>
      </w:r>
    </w:p>
    <w:p w:rsidR="00000000" w:rsidRPr="00633A79" w:rsidP="00633A79">
      <w:pPr>
        <w:pStyle w:val="ListBullet2"/>
      </w:pPr>
      <w:r w:rsidRPr="00633A79">
        <w:t>personal competency – knowledge and expertise</w:t>
      </w:r>
    </w:p>
    <w:p w:rsidR="00000000" w:rsidRPr="00633A79" w:rsidP="00633A79">
      <w:pPr>
        <w:pStyle w:val="ListBullet2"/>
      </w:pPr>
      <w:r w:rsidRPr="00633A79">
        <w:t>business ethics, informed consent and confidentiality</w:t>
      </w:r>
    </w:p>
    <w:p w:rsidR="00000000" w:rsidRPr="00633A79" w:rsidP="00633A79">
      <w:pPr>
        <w:pStyle w:val="ListBullet2"/>
      </w:pPr>
      <w:r w:rsidRPr="00633A79">
        <w:t>protocols for working with other qualified professionals</w:t>
      </w:r>
    </w:p>
    <w:p w:rsidR="00000000" w:rsidRPr="00633A79" w:rsidP="00633A79">
      <w:pPr>
        <w:pStyle w:val="ListBullet2"/>
      </w:pPr>
      <w:r w:rsidRPr="00633A79">
        <w:t>use of humane, ethical, scientifically validated methodologies and techniques</w:t>
      </w:r>
    </w:p>
    <w:p w:rsidR="00000000" w:rsidRPr="00633A79" w:rsidP="00633A79">
      <w:pPr>
        <w:pStyle w:val="ListBullet2"/>
      </w:pPr>
      <w:r w:rsidRPr="00633A79">
        <w:t>professional networks and mentoring options</w:t>
      </w:r>
    </w:p>
    <w:p w:rsidR="00000000" w:rsidRPr="00633A79" w:rsidP="00633A79">
      <w:pPr>
        <w:pStyle w:val="ListBullet"/>
      </w:pPr>
      <w:r w:rsidRPr="00633A79">
        <w:t>range of qualified professionals with specialised skills, including:</w:t>
      </w:r>
    </w:p>
    <w:p w:rsidR="00000000" w:rsidRPr="00633A79" w:rsidP="00633A79">
      <w:pPr>
        <w:pStyle w:val="ListBullet2"/>
      </w:pPr>
      <w:r w:rsidRPr="00633A79">
        <w:t>behaviour veterinarian, including a veterinarian with an intere</w:t>
      </w:r>
      <w:r w:rsidRPr="00633A79">
        <w:t>st in animal behaviour or a veterinarian with Membership to Australian and New Zealand College of Veterinary Scientists (MANZCVS)</w:t>
      </w:r>
    </w:p>
    <w:p w:rsidR="00000000" w:rsidRPr="00633A79" w:rsidP="00633A79">
      <w:pPr>
        <w:pStyle w:val="ListBullet2"/>
      </w:pPr>
      <w:r w:rsidRPr="00633A79">
        <w:t>registered Specialist in Veterinary Behavioural Medicine (SVBM)</w:t>
      </w:r>
    </w:p>
    <w:p w:rsidR="00000000" w:rsidRPr="00633A79" w:rsidP="00633A79">
      <w:pPr>
        <w:pStyle w:val="ListBullet2"/>
      </w:pPr>
      <w:r w:rsidRPr="00633A79">
        <w:t>animal physiotherapist</w:t>
      </w:r>
    </w:p>
    <w:p w:rsidR="00000000" w:rsidRPr="00633A79" w:rsidP="00633A79">
      <w:pPr>
        <w:pStyle w:val="ListBullet"/>
      </w:pPr>
      <w:r w:rsidRPr="00633A79">
        <w:t>key concepts of species-specific ethol</w:t>
      </w:r>
      <w:r w:rsidRPr="00633A79">
        <w:t xml:space="preserve">ogy, animal social behaviour </w:t>
      </w:r>
    </w:p>
    <w:p w:rsidR="00000000" w:rsidRPr="00633A79" w:rsidP="00633A79">
      <w:pPr>
        <w:pStyle w:val="ListBullet"/>
      </w:pPr>
      <w:r w:rsidRPr="00633A79">
        <w:t>species-specific animal body language and behavioural signs, including:</w:t>
      </w:r>
    </w:p>
    <w:p w:rsidR="00000000" w:rsidRPr="00633A79" w:rsidP="00633A79">
      <w:pPr>
        <w:pStyle w:val="ListBullet2"/>
      </w:pPr>
      <w:r w:rsidRPr="00633A79">
        <w:t xml:space="preserve">signs of stress </w:t>
      </w:r>
    </w:p>
    <w:p w:rsidR="00000000" w:rsidRPr="00633A79" w:rsidP="00633A79">
      <w:pPr>
        <w:pStyle w:val="ListBullet2"/>
      </w:pPr>
      <w:r w:rsidRPr="00633A79">
        <w:t xml:space="preserve">gross and fine body movement and vocalisation (where relevant) </w:t>
      </w:r>
    </w:p>
    <w:p w:rsidR="00000000" w:rsidRPr="00633A79" w:rsidP="00633A79">
      <w:pPr>
        <w:pStyle w:val="ListBullet2"/>
      </w:pPr>
      <w:r w:rsidRPr="00633A79">
        <w:t>patterns of behaviour, including frequency, duration and intensity</w:t>
      </w:r>
    </w:p>
    <w:p w:rsidR="00000000" w:rsidRPr="00633A79" w:rsidP="00633A79">
      <w:pPr>
        <w:pStyle w:val="ListBullet2"/>
      </w:pPr>
      <w:r w:rsidRPr="00633A79">
        <w:t>gener</w:t>
      </w:r>
      <w:r w:rsidRPr="00633A79">
        <w:t xml:space="preserve">al overview of triggers, motivating factors and reinforcers </w:t>
      </w:r>
    </w:p>
    <w:p w:rsidR="00000000" w:rsidRPr="00633A79" w:rsidP="00633A79">
      <w:pPr>
        <w:pStyle w:val="ListBullet"/>
      </w:pPr>
      <w:r w:rsidRPr="00633A79">
        <w:t>signs of emotional states/arousal and their social and environmental triggers, including:</w:t>
      </w:r>
    </w:p>
    <w:p w:rsidR="00000000" w:rsidRPr="00633A79" w:rsidP="00633A79">
      <w:pPr>
        <w:pStyle w:val="ListBullet2"/>
      </w:pPr>
      <w:r w:rsidRPr="00633A79">
        <w:t>concept of anthropomorphism</w:t>
      </w:r>
    </w:p>
    <w:p w:rsidR="00000000" w:rsidRPr="00633A79" w:rsidP="00633A79">
      <w:pPr>
        <w:pStyle w:val="ListBullet2"/>
      </w:pPr>
      <w:r w:rsidRPr="00633A79">
        <w:t xml:space="preserve">social behavioural signs with animals and people </w:t>
      </w:r>
    </w:p>
    <w:p w:rsidR="00000000" w:rsidRPr="00633A79" w:rsidP="00633A79">
      <w:pPr>
        <w:pStyle w:val="ListBullet2"/>
      </w:pPr>
      <w:r w:rsidRPr="00633A79">
        <w:t>signs indicating an animal is presenting an unreasonable risk to itself or people, and what to do in these cases</w:t>
      </w:r>
    </w:p>
    <w:p w:rsidR="00000000" w:rsidRPr="00633A79" w:rsidP="00633A79">
      <w:pPr>
        <w:pStyle w:val="ListBullet"/>
      </w:pPr>
      <w:r w:rsidRPr="00633A79">
        <w:t>basic physiology, including stress physiology; threat perception and coping behaviours; impulsivity and other aspects of animal personality</w:t>
      </w:r>
    </w:p>
    <w:p w:rsidR="00000000" w:rsidRPr="00633A79" w:rsidP="00633A79">
      <w:pPr>
        <w:pStyle w:val="ListBullet"/>
      </w:pPr>
      <w:r w:rsidRPr="00633A79">
        <w:t>ke</w:t>
      </w:r>
      <w:r w:rsidRPr="00633A79">
        <w:t>y concepts of animal learning, conditioning and training:</w:t>
      </w:r>
    </w:p>
    <w:p w:rsidR="00000000" w:rsidRPr="00633A79" w:rsidP="00633A79">
      <w:pPr>
        <w:pStyle w:val="ListBullet2"/>
      </w:pPr>
      <w:r w:rsidRPr="00633A79">
        <w:t>associative learning – operant and classical conditioning, including extinction, desensitisation and counter-conditioning and differential reinforcement</w:t>
      </w:r>
    </w:p>
    <w:p w:rsidR="00000000" w:rsidRPr="00633A79" w:rsidP="00633A79">
      <w:pPr>
        <w:pStyle w:val="ListBullet2"/>
      </w:pPr>
      <w:r w:rsidRPr="00633A79">
        <w:t>non-associative – habituation and sensitisat</w:t>
      </w:r>
      <w:r w:rsidRPr="00633A79">
        <w:t>ion</w:t>
      </w:r>
    </w:p>
    <w:p w:rsidR="00000000" w:rsidRPr="00633A79" w:rsidP="00633A79">
      <w:pPr>
        <w:pStyle w:val="ListBullet2"/>
      </w:pPr>
      <w:r w:rsidRPr="00633A79">
        <w:t>primary and secondary reinforcers</w:t>
      </w:r>
    </w:p>
    <w:p w:rsidR="00000000" w:rsidRPr="00633A79" w:rsidP="00633A79">
      <w:pPr>
        <w:pStyle w:val="ListBullet2"/>
      </w:pPr>
      <w:r w:rsidRPr="00633A79">
        <w:t xml:space="preserve">schedules of reinforcement </w:t>
      </w:r>
    </w:p>
    <w:p w:rsidR="00000000" w:rsidRPr="00633A79" w:rsidP="00633A79">
      <w:pPr>
        <w:pStyle w:val="ListBullet"/>
      </w:pPr>
      <w:r w:rsidRPr="00633A79">
        <w:t>species or breed specific training requirements and considerations</w:t>
      </w:r>
    </w:p>
    <w:p w:rsidR="00000000" w:rsidRPr="00633A79" w:rsidP="00633A79">
      <w:pPr>
        <w:pStyle w:val="ListBullet"/>
      </w:pPr>
      <w:r w:rsidRPr="00633A79">
        <w:t>positive reinforcement conditioning techniques, including luring, targeting, and shaping (prompted and free)</w:t>
      </w:r>
    </w:p>
    <w:p w:rsidR="00000000" w:rsidRPr="00633A79" w:rsidP="00633A79">
      <w:pPr>
        <w:pStyle w:val="ListBullet"/>
      </w:pPr>
      <w:r w:rsidRPr="00633A79">
        <w:t>importance of</w:t>
      </w:r>
      <w:r w:rsidRPr="00633A79">
        <w:t xml:space="preserve"> management of the animal</w:t>
      </w:r>
      <w:r>
        <w:t>’</w:t>
      </w:r>
      <w:r w:rsidRPr="00633A79">
        <w:t>s environment, health and behaviour, including</w:t>
      </w:r>
      <w:r w:rsidRPr="00633A79">
        <w:rPr>
          <w:rStyle w:val="SpecialBold"/>
        </w:rPr>
        <w:t>:</w:t>
      </w:r>
    </w:p>
    <w:p w:rsidR="00000000" w:rsidRPr="00633A79" w:rsidP="00633A79">
      <w:pPr>
        <w:pStyle w:val="ListBullet2"/>
      </w:pPr>
      <w:r w:rsidRPr="00633A79">
        <w:t>awareness of the effect of domesticated/captive/urbanised lifestyles on natural behaviour needs</w:t>
      </w:r>
    </w:p>
    <w:p w:rsidR="00000000" w:rsidRPr="00633A79" w:rsidP="00633A79">
      <w:pPr>
        <w:pStyle w:val="ListBullet2"/>
      </w:pPr>
      <w:r w:rsidRPr="00633A79">
        <w:t>providing species-specific basic needs in domesticated/captive/urbanised environments</w:t>
      </w:r>
    </w:p>
    <w:p w:rsidR="00000000" w:rsidRPr="00633A79" w:rsidP="00633A79">
      <w:pPr>
        <w:pStyle w:val="ListBullet2"/>
      </w:pPr>
      <w:r w:rsidRPr="00633A79">
        <w:t xml:space="preserve">impact of medical problems and chronic pain on animal behaviour </w:t>
      </w:r>
    </w:p>
    <w:p w:rsidR="00000000" w:rsidRPr="00633A79" w:rsidP="00633A79">
      <w:pPr>
        <w:pStyle w:val="ListBullet2"/>
      </w:pPr>
      <w:r w:rsidRPr="00633A79">
        <w:t>awareness of use of medication in behaviour management</w:t>
      </w:r>
    </w:p>
    <w:p w:rsidR="00000000" w:rsidRPr="00633A79" w:rsidP="00633A79">
      <w:pPr>
        <w:pStyle w:val="ListBullet"/>
      </w:pPr>
      <w:r w:rsidRPr="00633A79">
        <w:t>overview of key features of guidelines for animal trainers, including:</w:t>
      </w:r>
    </w:p>
    <w:p w:rsidR="00000000" w:rsidRPr="00633A79" w:rsidP="00633A79">
      <w:pPr>
        <w:pStyle w:val="ListBullet2"/>
      </w:pPr>
      <w:r w:rsidRPr="00633A79">
        <w:t>Least Intrusive Effective Behaviour Intervention (LIEBI model)</w:t>
      </w:r>
    </w:p>
    <w:p w:rsidR="00000000" w:rsidRPr="00633A79" w:rsidP="00633A79">
      <w:pPr>
        <w:pStyle w:val="ListBullet2"/>
      </w:pPr>
      <w:r w:rsidRPr="00633A79">
        <w:t xml:space="preserve">Least Intrusive, Minimally Aversive (LIMA) training </w:t>
      </w:r>
    </w:p>
    <w:p w:rsidR="00000000" w:rsidRPr="00633A79" w:rsidP="00633A79">
      <w:pPr>
        <w:pStyle w:val="ListBullet2"/>
      </w:pPr>
      <w:r w:rsidRPr="00633A79">
        <w:t>Hierarchy of Procedures for Humane and Effective Practice</w:t>
      </w:r>
    </w:p>
    <w:p w:rsidR="00000000" w:rsidRPr="00633A79" w:rsidP="00633A79">
      <w:pPr>
        <w:pStyle w:val="ListBullet"/>
      </w:pPr>
      <w:r w:rsidRPr="00633A79">
        <w:t xml:space="preserve">how to format, conduct and analyse assessments on the animal, the client/animal relationship and the environment in which the behaviour occurs </w:t>
      </w:r>
    </w:p>
    <w:p w:rsidR="00000000" w:rsidRPr="00633A79" w:rsidP="00633A79">
      <w:pPr>
        <w:pStyle w:val="ListBullet"/>
      </w:pPr>
      <w:r w:rsidRPr="00633A79">
        <w:t>formats for documenting training and behaviour management plans</w:t>
      </w:r>
    </w:p>
    <w:p w:rsidR="00000000" w:rsidRPr="00633A79" w:rsidP="00633A79">
      <w:pPr>
        <w:pStyle w:val="ListBullet"/>
      </w:pPr>
      <w:r w:rsidRPr="00633A79">
        <w:t>application of the principles of animal welfare and ethics, including:</w:t>
      </w:r>
    </w:p>
    <w:p w:rsidR="00000000" w:rsidRPr="00633A79" w:rsidP="00633A79">
      <w:pPr>
        <w:pStyle w:val="ListBullet2"/>
      </w:pPr>
      <w:r w:rsidRPr="00633A79">
        <w:t xml:space="preserve">safe, low stress and defensive animal handling and humane restraint techniques and procedures </w:t>
      </w:r>
    </w:p>
    <w:p w:rsidR="00000000" w:rsidRPr="00633A79" w:rsidP="00633A79">
      <w:pPr>
        <w:pStyle w:val="ListBullet2"/>
      </w:pPr>
      <w:r w:rsidRPr="00633A79">
        <w:t>commonly used animal tra</w:t>
      </w:r>
      <w:r w:rsidRPr="00633A79">
        <w:t>ining equipment.</w:t>
      </w:r>
    </w:p>
    <w:p w:rsidR="00000000" w:rsidRPr="00633A79" w:rsidP="00633A79">
      <w:pPr>
        <w:pStyle w:val="AllowPageBreak"/>
      </w:pPr>
    </w:p>
    <w:p w:rsidR="00000000" w:rsidRPr="00633A79" w:rsidP="00633A79">
      <w:pPr>
        <w:pStyle w:val="Heading1"/>
      </w:pPr>
      <w:bookmarkStart w:id="4" w:name="O_1168147"/>
      <w:bookmarkEnd w:id="4"/>
      <w:r w:rsidRPr="00633A79">
        <w:t>Assessment Conditions</w:t>
      </w:r>
    </w:p>
    <w:p w:rsidR="00000000" w:rsidRPr="00633A79" w:rsidP="0009692F">
      <w:pPr>
        <w:pStyle w:val="BodyText"/>
      </w:pPr>
      <w:r w:rsidRPr="00633A79">
        <w:t>Assessment of the skills in this unit of competency must take place under the following conditions:</w:t>
      </w:r>
    </w:p>
    <w:p w:rsidR="00000000" w:rsidRPr="00633A79" w:rsidP="00633A79">
      <w:pPr>
        <w:pStyle w:val="ListBullet"/>
      </w:pPr>
      <w:r w:rsidRPr="00633A79">
        <w:t>physical conditions:</w:t>
      </w:r>
    </w:p>
    <w:p w:rsidR="00000000" w:rsidRPr="00633A79" w:rsidP="00633A79">
      <w:pPr>
        <w:pStyle w:val="ListBullet2"/>
      </w:pPr>
      <w:r w:rsidRPr="00633A79">
        <w:t xml:space="preserve">an animal care workplace </w:t>
      </w:r>
    </w:p>
    <w:p w:rsidR="00000000" w:rsidRPr="00633A79" w:rsidP="00633A79">
      <w:pPr>
        <w:pStyle w:val="ListBullet"/>
      </w:pPr>
      <w:r w:rsidRPr="00633A79">
        <w:t>resources, equipment and materials:</w:t>
      </w:r>
    </w:p>
    <w:p w:rsidR="00000000" w:rsidRPr="00633A79" w:rsidP="00633A79">
      <w:pPr>
        <w:pStyle w:val="ListBullet2"/>
      </w:pPr>
      <w:r w:rsidRPr="00633A79">
        <w:t>live animals as required in the performance evidence</w:t>
      </w:r>
    </w:p>
    <w:p w:rsidR="00000000" w:rsidRPr="00633A79" w:rsidP="00633A79">
      <w:pPr>
        <w:pStyle w:val="ListBullet"/>
      </w:pPr>
      <w:r w:rsidRPr="00633A79">
        <w:t>relationships:</w:t>
      </w:r>
    </w:p>
    <w:p w:rsidR="00000000" w:rsidRPr="00633A79" w:rsidP="00633A79">
      <w:pPr>
        <w:pStyle w:val="ListBullet2"/>
      </w:pPr>
      <w:r w:rsidRPr="00633A79">
        <w:t>behaviour veterinarian or other qualified professional, and individual client specified in the performance evidence.</w:t>
      </w:r>
    </w:p>
    <w:p w:rsidR="00000000" w:rsidRPr="00633A79" w:rsidP="0009692F">
      <w:pPr>
        <w:pStyle w:val="BodyText"/>
      </w:pPr>
      <w:r w:rsidRPr="00633A79">
        <w:t>Assessors of this unit must satisfy the requirements for assessors in</w:t>
      </w:r>
      <w:r w:rsidRPr="00633A79">
        <w:t xml:space="preserve"> applicable vocational education and training legislation, frameworks and/or standards.</w:t>
      </w:r>
    </w:p>
    <w:p w:rsidR="00000000" w:rsidRPr="00633A79" w:rsidP="00633A79">
      <w:pPr>
        <w:pStyle w:val="Heading1"/>
      </w:pPr>
      <w:bookmarkStart w:id="5" w:name="O_1168150"/>
      <w:bookmarkEnd w:id="5"/>
      <w:r w:rsidRPr="00633A79">
        <w:t>Links</w:t>
      </w:r>
    </w:p>
    <w:p w:rsidR="00000000" w:rsidRPr="00633A79" w:rsidP="0009692F">
      <w:pPr>
        <w:pStyle w:val="BodyText"/>
      </w:pPr>
      <w:r w:rsidRPr="00633A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D585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33A79" w:rsidP="00633A79"/>
    <w:sectPr w:rsidSect="00633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79" w:rsidRPr="0009692F" w:rsidP="00096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F" w:rsidP="00633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92F" w:rsidP="00633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692F" w:rsidP="00633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A79" w:rsidRPr="0009692F" w:rsidP="00096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F" w:rsidRPr="002D2AF8" w:rsidP="00633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ACMBEH501 Work collaboratively to manage complex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9692F" w:rsidP="00633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40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54C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1AC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A79"/>
  </w:style>
  <w:style w:type="character" w:customStyle="1" w:styleId="Heading1Char">
    <w:name w:val="Heading 1 Char"/>
    <w:basedOn w:val="DefaultParagraphFont"/>
    <w:link w:val="Heading1"/>
    <w:rsid w:val="00633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A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A79"/>
    <w:rPr>
      <w:b/>
      <w:spacing w:val="0"/>
    </w:rPr>
  </w:style>
  <w:style w:type="paragraph" w:styleId="ListBullet2">
    <w:name w:val="List Bullet 2"/>
    <w:basedOn w:val="List2"/>
    <w:rsid w:val="00633A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3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3A79"/>
    <w:rPr>
      <w:b/>
    </w:rPr>
  </w:style>
  <w:style w:type="character" w:customStyle="1" w:styleId="Heading2Char">
    <w:name w:val="Heading 2 Char"/>
    <w:basedOn w:val="DefaultParagraphFont"/>
    <w:link w:val="Heading2"/>
    <w:rsid w:val="00633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A79"/>
    <w:rPr>
      <w:i/>
    </w:rPr>
  </w:style>
  <w:style w:type="paragraph" w:styleId="Caption">
    <w:name w:val="caption"/>
    <w:basedOn w:val="BodyText"/>
    <w:next w:val="Normal"/>
    <w:qFormat/>
    <w:rsid w:val="00633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A79"/>
  </w:style>
  <w:style w:type="paragraph" w:styleId="TableofFigures">
    <w:name w:val="table of figures"/>
    <w:basedOn w:val="Normal"/>
    <w:next w:val="Normal"/>
    <w:semiHidden/>
    <w:rsid w:val="00633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3A79"/>
    <w:rPr>
      <w:rFonts w:ascii="Wingdings" w:hAnsi="Wingdings"/>
    </w:rPr>
  </w:style>
  <w:style w:type="paragraph" w:customStyle="1" w:styleId="TableHeading">
    <w:name w:val="Table Heading"/>
    <w:basedOn w:val="HeadingBase"/>
    <w:rsid w:val="00633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A79"/>
    <w:rPr>
      <w:color w:val="0033CC"/>
      <w:u w:val="none"/>
    </w:rPr>
  </w:style>
  <w:style w:type="paragraph" w:customStyle="1" w:styleId="BodyTextRight">
    <w:name w:val="Body Text Right"/>
    <w:basedOn w:val="BodyText"/>
    <w:rsid w:val="00633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A79"/>
    <w:rPr>
      <w:sz w:val="32"/>
    </w:rPr>
  </w:style>
  <w:style w:type="paragraph" w:customStyle="1" w:styleId="HeadingProcedure">
    <w:name w:val="Heading Procedure"/>
    <w:basedOn w:val="HeadingBase"/>
    <w:next w:val="Normal"/>
    <w:rsid w:val="00633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A79"/>
    <w:pPr>
      <w:spacing w:before="60" w:after="60"/>
    </w:pPr>
  </w:style>
  <w:style w:type="paragraph" w:styleId="ListContinue">
    <w:name w:val="List Continue"/>
    <w:basedOn w:val="List"/>
    <w:rsid w:val="00633A79"/>
    <w:pPr>
      <w:ind w:firstLine="0"/>
    </w:pPr>
  </w:style>
  <w:style w:type="paragraph" w:customStyle="1" w:styleId="ListNote">
    <w:name w:val="List Note"/>
    <w:basedOn w:val="List"/>
    <w:rsid w:val="00633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A79"/>
    <w:rPr>
      <w:rFonts w:ascii="Courier New" w:hAnsi="Courier New"/>
    </w:rPr>
  </w:style>
  <w:style w:type="paragraph" w:customStyle="1" w:styleId="NoteBullet">
    <w:name w:val="Note Bullet"/>
    <w:basedOn w:val="Note"/>
    <w:rsid w:val="00633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A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3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A79"/>
    <w:rPr>
      <w:b/>
      <w:smallCaps/>
    </w:rPr>
  </w:style>
  <w:style w:type="paragraph" w:customStyle="1" w:styleId="TableListNumber">
    <w:name w:val="Table List Number"/>
    <w:basedOn w:val="ListNumber"/>
    <w:rsid w:val="00633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A79"/>
    <w:pPr>
      <w:numPr>
        <w:numId w:val="9"/>
      </w:numPr>
    </w:pPr>
  </w:style>
  <w:style w:type="paragraph" w:customStyle="1" w:styleId="ListAlpha2">
    <w:name w:val="List Alpha 2"/>
    <w:basedOn w:val="List2"/>
    <w:rsid w:val="00633A79"/>
    <w:pPr>
      <w:numPr>
        <w:numId w:val="8"/>
      </w:numPr>
    </w:pPr>
  </w:style>
  <w:style w:type="paragraph" w:styleId="List2">
    <w:name w:val="List 2"/>
    <w:basedOn w:val="BodyText"/>
    <w:rsid w:val="00633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A79"/>
    <w:pPr>
      <w:numPr>
        <w:numId w:val="4"/>
      </w:numPr>
    </w:pPr>
  </w:style>
  <w:style w:type="paragraph" w:styleId="ListContinue2">
    <w:name w:val="List Continue 2"/>
    <w:basedOn w:val="List2"/>
    <w:rsid w:val="00633A79"/>
    <w:pPr>
      <w:ind w:firstLine="0"/>
    </w:pPr>
  </w:style>
  <w:style w:type="paragraph" w:styleId="ListContinue3">
    <w:name w:val="List Continue 3"/>
    <w:basedOn w:val="List3"/>
    <w:rsid w:val="00633A79"/>
    <w:pPr>
      <w:ind w:left="1021" w:firstLine="0"/>
    </w:pPr>
  </w:style>
  <w:style w:type="paragraph" w:styleId="ListContinue4">
    <w:name w:val="List Continue 4"/>
    <w:basedOn w:val="List4"/>
    <w:rsid w:val="00633A79"/>
    <w:pPr>
      <w:ind w:firstLine="0"/>
    </w:pPr>
  </w:style>
  <w:style w:type="paragraph" w:styleId="ListContinue5">
    <w:name w:val="List Continue 5"/>
    <w:basedOn w:val="List5"/>
    <w:rsid w:val="00633A79"/>
    <w:pPr>
      <w:ind w:firstLine="0"/>
    </w:pPr>
  </w:style>
  <w:style w:type="paragraph" w:styleId="ListNumber3">
    <w:name w:val="List Number 3"/>
    <w:basedOn w:val="List3"/>
    <w:rsid w:val="00633A79"/>
    <w:pPr>
      <w:numPr>
        <w:numId w:val="5"/>
      </w:numPr>
    </w:pPr>
  </w:style>
  <w:style w:type="paragraph" w:styleId="ListNumber4">
    <w:name w:val="List Number 4"/>
    <w:basedOn w:val="List4"/>
    <w:rsid w:val="00633A79"/>
    <w:pPr>
      <w:numPr>
        <w:numId w:val="6"/>
      </w:numPr>
    </w:pPr>
  </w:style>
  <w:style w:type="paragraph" w:styleId="ListNumber5">
    <w:name w:val="List Number 5"/>
    <w:basedOn w:val="List5"/>
    <w:rsid w:val="00633A79"/>
    <w:pPr>
      <w:numPr>
        <w:numId w:val="7"/>
      </w:numPr>
    </w:pPr>
  </w:style>
  <w:style w:type="paragraph" w:styleId="BlockText">
    <w:name w:val="Block Text"/>
    <w:basedOn w:val="Normal"/>
    <w:rsid w:val="00633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A79"/>
    <w:rPr>
      <w:sz w:val="16"/>
      <w:vertAlign w:val="superscript"/>
    </w:rPr>
  </w:style>
  <w:style w:type="character" w:customStyle="1" w:styleId="Symbols">
    <w:name w:val="Symbols"/>
    <w:basedOn w:val="DefaultParagraphFont"/>
    <w:rsid w:val="00633A79"/>
    <w:rPr>
      <w:rFonts w:ascii="Symbol" w:hAnsi="Symbol"/>
    </w:rPr>
  </w:style>
  <w:style w:type="character" w:customStyle="1" w:styleId="MenuOptions">
    <w:name w:val="Menu Options"/>
    <w:basedOn w:val="DefaultParagraphFont"/>
    <w:rsid w:val="00633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A79"/>
    <w:rPr>
      <w:b/>
    </w:rPr>
  </w:style>
  <w:style w:type="character" w:customStyle="1" w:styleId="Underlined">
    <w:name w:val="Underlined"/>
    <w:basedOn w:val="DefaultParagraphFont"/>
    <w:rsid w:val="00633A79"/>
    <w:rPr>
      <w:u w:val="single"/>
    </w:rPr>
  </w:style>
  <w:style w:type="paragraph" w:customStyle="1" w:styleId="TableBodyTextRight">
    <w:name w:val="Table Body Text Right"/>
    <w:basedOn w:val="TableBodyText"/>
    <w:rsid w:val="00633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A79"/>
    <w:rPr>
      <w:sz w:val="18"/>
    </w:rPr>
  </w:style>
  <w:style w:type="paragraph" w:customStyle="1" w:styleId="BodySmallRight">
    <w:name w:val="Body Small Right"/>
    <w:basedOn w:val="BodyTextRight"/>
    <w:rsid w:val="00633A79"/>
    <w:rPr>
      <w:sz w:val="18"/>
      <w:szCs w:val="18"/>
    </w:rPr>
  </w:style>
  <w:style w:type="paragraph" w:customStyle="1" w:styleId="MarginEdition">
    <w:name w:val="Margin Edition"/>
    <w:basedOn w:val="MarginNote"/>
    <w:rsid w:val="00633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A79"/>
    <w:rPr>
      <w:sz w:val="2"/>
      <w:szCs w:val="2"/>
    </w:rPr>
  </w:style>
  <w:style w:type="character" w:customStyle="1" w:styleId="Small">
    <w:name w:val="Small"/>
    <w:basedOn w:val="DefaultParagraphFont"/>
    <w:rsid w:val="00633A79"/>
    <w:rPr>
      <w:sz w:val="16"/>
    </w:rPr>
  </w:style>
  <w:style w:type="paragraph" w:customStyle="1" w:styleId="WideTable">
    <w:name w:val="Wide Table"/>
    <w:basedOn w:val="Normal"/>
    <w:rsid w:val="00633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A79"/>
  </w:style>
  <w:style w:type="paragraph" w:styleId="Quote">
    <w:name w:val="Quote"/>
    <w:basedOn w:val="Heading1"/>
    <w:link w:val="QuoteChar"/>
    <w:qFormat/>
    <w:rsid w:val="00633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A79"/>
    <w:pPr>
      <w:pageBreakBefore/>
    </w:pPr>
  </w:style>
  <w:style w:type="paragraph" w:customStyle="1" w:styleId="Border">
    <w:name w:val="Border"/>
    <w:basedOn w:val="Normal"/>
    <w:qFormat/>
    <w:rsid w:val="00633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A79"/>
    <w:rPr>
      <w:u w:val="single"/>
    </w:rPr>
  </w:style>
  <w:style w:type="character" w:customStyle="1" w:styleId="BoldandItalics">
    <w:name w:val="Bold and Italics"/>
    <w:qFormat/>
    <w:rsid w:val="00633A79"/>
    <w:rPr>
      <w:b/>
      <w:i/>
      <w:u w:val="none"/>
    </w:rPr>
  </w:style>
  <w:style w:type="paragraph" w:styleId="BalloonText">
    <w:name w:val="Balloon Text"/>
    <w:basedOn w:val="Normal"/>
    <w:link w:val="BalloonTextChar"/>
    <w:rsid w:val="00633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A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6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4542</Characters>
  <Application>Microsoft Office Word</Application>
  <DocSecurity>0</DocSecurity>
  <Lines>108</Lines>
  <Paragraphs>89</Paragraphs>
  <ScaleCrop>false</ScaleCrop>
  <Company>Author-it Software Corporation Ltd.</Company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ACMBEH501 Work collaboratively to manage complex animal behaviour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