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575" w:rsidP="005F6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ACMATE511 Carry out post-mortem examination of a research animal</w:t>
      </w:r>
      <w:r>
        <w:fldChar w:fldCharType="end"/>
      </w:r>
    </w:p>
    <w:p w:rsidR="005F6575" w:rsidP="005F6575">
      <w:pPr>
        <w:pStyle w:val="Version"/>
        <w:sectPr w:rsidSect="00295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688" w:rsidP="00295688">
      <w:pPr>
        <w:pStyle w:val="SuperHeading"/>
      </w:pPr>
      <w:r w:rsidRPr="00295688">
        <w:t>ACMATE511 Carry out post-mortem examination of a research animal</w:t>
      </w:r>
    </w:p>
    <w:p w:rsidR="00000000" w:rsidRPr="00295688" w:rsidP="00295688">
      <w:pPr>
        <w:pStyle w:val="Heading1"/>
      </w:pPr>
      <w:bookmarkStart w:id="1" w:name="O_1049592"/>
      <w:bookmarkEnd w:id="1"/>
      <w:r w:rsidRPr="002956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5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Comments</w:t>
            </w:r>
          </w:p>
        </w:tc>
      </w:tr>
      <w:tr w:rsidTr="00295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This version released with ACM Animal Care and Management Training Package Version 3.0.</w:t>
            </w:r>
          </w:p>
        </w:tc>
      </w:tr>
    </w:tbl>
    <w:p w:rsidR="00000000" w:rsidRPr="00295688" w:rsidP="00295688">
      <w:pPr>
        <w:pStyle w:val="BodyText"/>
      </w:pPr>
    </w:p>
    <w:p w:rsidR="00000000" w:rsidRPr="00295688" w:rsidP="00295688">
      <w:pPr>
        <w:pStyle w:val="AllowPageBreak"/>
      </w:pPr>
    </w:p>
    <w:p w:rsidR="00000000" w:rsidRPr="00295688" w:rsidP="00295688">
      <w:pPr>
        <w:pStyle w:val="Heading1"/>
      </w:pPr>
      <w:bookmarkStart w:id="2" w:name="O_1049593"/>
      <w:bookmarkEnd w:id="2"/>
      <w:r w:rsidRPr="00295688">
        <w:t>Application</w:t>
      </w:r>
    </w:p>
    <w:p w:rsidR="00000000" w:rsidRPr="00295688" w:rsidP="005F6575">
      <w:pPr>
        <w:pStyle w:val="BodyText"/>
      </w:pPr>
      <w:r w:rsidRPr="00295688">
        <w:t>This unit describes the skills and knowledge required to conduct a post-mortem examination of a research animal for scientific purposes. Post-mortem examinations may be subject to biosecurity and quarantine regulatory and organisational requirements.</w:t>
      </w:r>
    </w:p>
    <w:p w:rsidR="00000000" w:rsidRPr="00295688" w:rsidP="005F6575">
      <w:pPr>
        <w:pStyle w:val="BodyText"/>
      </w:pPr>
      <w:r w:rsidRPr="00295688">
        <w:t xml:space="preserve">This </w:t>
      </w:r>
      <w:r w:rsidRPr="00295688">
        <w:t xml:space="preserve">unit applies to individuals who are required to work with and care for animals used within scientific establishments for scientific purposes and teaching. </w:t>
      </w:r>
    </w:p>
    <w:p w:rsidR="00000000" w:rsidRPr="00295688" w:rsidP="005F6575">
      <w:pPr>
        <w:pStyle w:val="BodyText"/>
      </w:pPr>
      <w:r w:rsidRPr="00295688">
        <w:t>All work practices must be undertaken in accordance with legislative requirements, the current Austr</w:t>
      </w:r>
      <w:r w:rsidRPr="00295688">
        <w:t>alian Code for the Care and Use of Animals for Scientific Purposes (the Code), the organisation</w:t>
      </w:r>
      <w:r>
        <w:t>’</w:t>
      </w:r>
      <w:r w:rsidRPr="00295688">
        <w:t>s standard operating procedures, and protocols, policies and procedures approved by the organisation</w:t>
      </w:r>
      <w:r>
        <w:t>’</w:t>
      </w:r>
      <w:r w:rsidRPr="00295688">
        <w:t>s Animal Ethics Committee (AEC). Users are advised to check</w:t>
      </w:r>
      <w:r w:rsidRPr="00295688">
        <w:t xml:space="preserve"> legislative requirements for their jurisdiction.</w:t>
      </w:r>
    </w:p>
    <w:p w:rsidR="00000000" w:rsidRPr="00295688" w:rsidP="00295688">
      <w:pPr>
        <w:pStyle w:val="Heading1"/>
      </w:pPr>
      <w:bookmarkStart w:id="3" w:name="O_1049594"/>
      <w:bookmarkEnd w:id="3"/>
      <w:r w:rsidRPr="00295688">
        <w:t>Pre-requisite Unit</w:t>
      </w:r>
    </w:p>
    <w:p w:rsidR="00000000" w:rsidRPr="00295688" w:rsidP="005F6575">
      <w:pPr>
        <w:pStyle w:val="BodyText"/>
      </w:pPr>
      <w:r w:rsidRPr="00295688">
        <w:t>Nil</w:t>
      </w:r>
    </w:p>
    <w:p w:rsidR="00000000" w:rsidRPr="00295688" w:rsidP="00295688">
      <w:pPr>
        <w:pStyle w:val="Heading1"/>
      </w:pPr>
      <w:bookmarkStart w:id="4" w:name="O_1049596"/>
      <w:bookmarkEnd w:id="4"/>
      <w:r w:rsidRPr="00295688">
        <w:t>Unit Sector</w:t>
      </w:r>
    </w:p>
    <w:p w:rsidR="00000000" w:rsidRPr="00295688" w:rsidP="005F6575">
      <w:pPr>
        <w:pStyle w:val="BodyText"/>
      </w:pPr>
      <w:r w:rsidRPr="00295688">
        <w:t>Animal Technology (ATE)</w:t>
      </w:r>
    </w:p>
    <w:p w:rsidR="00000000" w:rsidRPr="00295688" w:rsidP="00295688">
      <w:pPr>
        <w:pStyle w:val="Heading1"/>
      </w:pPr>
      <w:bookmarkStart w:id="5" w:name="O_1049597"/>
      <w:bookmarkEnd w:id="5"/>
      <w:r w:rsidRPr="002956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Performance Criteria</w:t>
            </w:r>
          </w:p>
        </w:tc>
      </w:tr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1. Prepare to conduct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1.1 Identify, select and prepare appropriate site for the post-mort</w:t>
            </w:r>
            <w:r w:rsidRPr="00295688">
              <w:t>em according to facility and containment classification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1.2 Identify containment issues and health and safety risks and take or </w:t>
            </w:r>
            <w:r w:rsidRPr="00295688">
              <w:t>recommend appropriate action to protect self and others</w:t>
            </w:r>
          </w:p>
          <w:p w:rsidR="00000000" w:rsidRPr="00295688" w:rsidP="00295688">
            <w:pPr>
              <w:pStyle w:val="BodyText"/>
            </w:pPr>
            <w:r w:rsidRPr="00295688">
              <w:t>1.3 Obtain and prepare correct clothing, equipment and resources to be u</w:t>
            </w:r>
            <w:r w:rsidRPr="00295688">
              <w:t>sed in the post-mortem examination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1.4 Use appropriate manual lifting techniques to move the animal to be examined to the post-mortem area 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1.5 Confirm indicators of death in animals </w:t>
            </w:r>
          </w:p>
          <w:p w:rsidR="00000000" w:rsidRPr="00295688" w:rsidP="00295688">
            <w:pPr>
              <w:pStyle w:val="BodyText"/>
            </w:pPr>
            <w:r w:rsidRPr="00295688">
              <w:t>1.6 Confirm identity and obtain and collate all relevant preliminary inf</w:t>
            </w:r>
            <w:r w:rsidRPr="00295688">
              <w:t>ormation about the animal to be examined</w:t>
            </w:r>
          </w:p>
          <w:p w:rsidR="00000000" w:rsidRPr="00295688" w:rsidP="00295688">
            <w:pPr>
              <w:pStyle w:val="BodyText"/>
            </w:pPr>
            <w:r w:rsidRPr="00295688">
              <w:t>1.7 Identify abnormal characteristics that may indicate the presence of notifiable and potentially hazardous conditions or diseases, and take or recommend appropriate action</w:t>
            </w:r>
          </w:p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1.8 Identify industry expert assistance, and access as appropriate</w:t>
            </w:r>
          </w:p>
        </w:tc>
      </w:tr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2. Carry out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2.1 Carry out external assessment of the animal and record outward signs of abnormalities or injury</w:t>
            </w:r>
          </w:p>
          <w:p w:rsidR="00000000" w:rsidRPr="00295688" w:rsidP="00295688">
            <w:pPr>
              <w:pStyle w:val="BodyText"/>
            </w:pPr>
            <w:r w:rsidRPr="00295688">
              <w:t>2.2 Dissect animal using appropriate techniques</w:t>
            </w:r>
            <w:r w:rsidRPr="00295688">
              <w:t xml:space="preserve"> and equipment to avoid cutting into organs or stomach cavity</w:t>
            </w:r>
          </w:p>
          <w:p w:rsidR="00000000" w:rsidRPr="00295688" w:rsidP="00295688">
            <w:pPr>
              <w:pStyle w:val="BodyText"/>
            </w:pPr>
            <w:r w:rsidRPr="00295688">
              <w:t>2.3 Examine nominated organs, tissues and structures</w:t>
            </w:r>
          </w:p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2.4 Take and prepare samples of organs, other tissues and fluid samples where appropriate without causing damage to tissues</w:t>
            </w:r>
          </w:p>
        </w:tc>
      </w:tr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 xml:space="preserve">3. Identify and </w:t>
            </w:r>
            <w:r w:rsidRPr="00295688">
              <w:t>handle a range of body parts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3.1 Locate, identify and handle integument and facial structures</w:t>
            </w:r>
          </w:p>
          <w:p w:rsidR="00000000" w:rsidRPr="00295688" w:rsidP="00295688">
            <w:pPr>
              <w:pStyle w:val="BodyText"/>
            </w:pPr>
            <w:r w:rsidRPr="00295688">
              <w:t>3.2 Locate, identify and handle musculoskeletal structures</w:t>
            </w:r>
          </w:p>
          <w:p w:rsidR="00000000" w:rsidRPr="00295688" w:rsidP="00295688">
            <w:pPr>
              <w:pStyle w:val="BodyText"/>
            </w:pPr>
            <w:r w:rsidRPr="00295688">
              <w:t>3.3 Locate, identify and handle digestive system structures and organs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3.4 Locate, </w:t>
            </w:r>
            <w:r w:rsidRPr="00295688">
              <w:t>identify and handle reproductive system, organs and structures</w:t>
            </w:r>
          </w:p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3.5 Locate, identify and handle other structures and organs relevant to post-mortem procedures conducted in the facility</w:t>
            </w:r>
          </w:p>
        </w:tc>
      </w:tr>
      <w:tr w:rsidTr="005F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4. Complete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4.1 Dispose of carcass using ap</w:t>
            </w:r>
            <w:r w:rsidRPr="00295688">
              <w:t>propriate equipment according to animal research practices and waste disposal legislation and regulations</w:t>
            </w:r>
          </w:p>
          <w:p w:rsidR="00000000" w:rsidRPr="00295688" w:rsidP="00295688">
            <w:pPr>
              <w:pStyle w:val="BodyText"/>
            </w:pPr>
            <w:r w:rsidRPr="00295688">
              <w:t>4.2 Correctly label and package samples for analysis according to organisational procedures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4.3 Collate records of observations and information about </w:t>
            </w:r>
            <w:r w:rsidRPr="00295688">
              <w:t>the animal examined for relevant persons to analyse and diagnose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4.4 Clean and disinfect post-mortem area and equipment according to </w:t>
            </w:r>
            <w:r w:rsidRPr="00295688">
              <w:t xml:space="preserve">organisational procedures and biosecurity requirements where applicable </w:t>
            </w:r>
          </w:p>
        </w:tc>
      </w:tr>
    </w:tbl>
    <w:p w:rsidR="00000000" w:rsidRPr="00295688" w:rsidP="00295688">
      <w:pPr>
        <w:pStyle w:val="BodyText"/>
      </w:pPr>
    </w:p>
    <w:p w:rsidR="00000000" w:rsidRPr="00295688" w:rsidP="00295688">
      <w:pPr>
        <w:pStyle w:val="AllowPageBreak"/>
      </w:pPr>
    </w:p>
    <w:p w:rsidR="00000000" w:rsidRPr="00295688" w:rsidP="00295688">
      <w:pPr>
        <w:pStyle w:val="Heading1"/>
      </w:pPr>
      <w:bookmarkStart w:id="6" w:name="O_1049598"/>
      <w:bookmarkEnd w:id="6"/>
      <w:r w:rsidRPr="00295688">
        <w:t>Foundation Skills</w:t>
      </w:r>
    </w:p>
    <w:p w:rsidR="00000000" w:rsidRPr="005F6575" w:rsidP="005F6575">
      <w:pPr>
        <w:pStyle w:val="BodyText"/>
        <w:rPr>
          <w:i/>
        </w:rPr>
      </w:pPr>
      <w:r w:rsidRPr="005F65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5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Description</w:t>
            </w:r>
          </w:p>
        </w:tc>
      </w:tr>
      <w:tr w:rsidTr="00295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ListBullet"/>
              <w:rPr>
                <w:lang w:val="en-NZ"/>
              </w:rPr>
            </w:pPr>
            <w:r w:rsidRPr="00295688">
              <w:t>Read and interpret relevant codes of</w:t>
            </w:r>
            <w:r w:rsidRPr="00295688">
              <w:t xml:space="preserve"> practice and organisational procedures</w:t>
            </w:r>
          </w:p>
        </w:tc>
      </w:tr>
      <w:tr w:rsidTr="00295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ListBullet"/>
            </w:pPr>
            <w:r w:rsidRPr="00295688">
              <w:t>Perform a post-mortem examination to ensure effectiveness in meeting timelines and work schedules</w:t>
            </w:r>
          </w:p>
        </w:tc>
      </w:tr>
    </w:tbl>
    <w:p w:rsidR="00000000" w:rsidRPr="00295688" w:rsidP="00295688">
      <w:pPr>
        <w:pStyle w:val="BodyText"/>
      </w:pPr>
    </w:p>
    <w:p w:rsidR="00000000" w:rsidRPr="00295688" w:rsidP="00295688">
      <w:pPr>
        <w:pStyle w:val="AllowPageBreak"/>
      </w:pPr>
    </w:p>
    <w:p w:rsidR="00000000" w:rsidRPr="00295688" w:rsidP="00295688">
      <w:pPr>
        <w:pStyle w:val="Heading1"/>
      </w:pPr>
      <w:bookmarkStart w:id="7" w:name="O_1049600"/>
      <w:bookmarkEnd w:id="7"/>
      <w:r w:rsidRPr="00295688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956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 xml:space="preserve">Code and title </w:t>
            </w:r>
            <w:r w:rsidRPr="00295688">
              <w:t>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688">
            <w:pPr>
              <w:pStyle w:val="BodyTextBold"/>
              <w:rPr>
                <w:lang w:val="en-NZ"/>
              </w:rPr>
            </w:pPr>
            <w:r w:rsidRPr="00295688">
              <w:t>Equivalence status</w:t>
            </w:r>
          </w:p>
        </w:tc>
      </w:tr>
      <w:tr w:rsidTr="002956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 xml:space="preserve">ACMATE511 Carry out post-mortem examination of a research animal </w:t>
            </w:r>
          </w:p>
          <w:p w:rsidR="00000000" w:rsidRPr="00295688" w:rsidP="0029568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 xml:space="preserve">ACMATE503 Carry out post-mortem examination of a research animal </w:t>
            </w:r>
          </w:p>
          <w:p w:rsidR="00000000" w:rsidRPr="00295688" w:rsidP="0029568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New element added</w:t>
            </w:r>
          </w:p>
          <w:p w:rsidR="00000000" w:rsidRPr="00295688" w:rsidP="00295688">
            <w:pPr>
              <w:pStyle w:val="BodyText"/>
            </w:pPr>
            <w:r w:rsidRPr="00295688">
              <w:t xml:space="preserve">Minor changes to performance criteria and knowledge evidence for clarity </w:t>
            </w:r>
          </w:p>
          <w:p w:rsidR="00000000" w:rsidP="00295688">
            <w:pPr>
              <w:pStyle w:val="BodyText"/>
              <w:rPr>
                <w:lang w:val="en-NZ"/>
              </w:rPr>
            </w:pPr>
            <w:r w:rsidRPr="00295688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688" w:rsidP="00295688">
            <w:pPr>
              <w:pStyle w:val="BodyText"/>
            </w:pPr>
            <w:r w:rsidRPr="00295688">
              <w:t>No equivalent unit</w:t>
            </w:r>
          </w:p>
        </w:tc>
      </w:tr>
    </w:tbl>
    <w:p w:rsidR="00000000" w:rsidRPr="00295688" w:rsidP="00295688">
      <w:pPr>
        <w:pStyle w:val="BodyText"/>
      </w:pPr>
    </w:p>
    <w:p w:rsidR="00000000" w:rsidRPr="00295688" w:rsidP="00295688">
      <w:pPr>
        <w:pStyle w:val="AllowPageBreak"/>
      </w:pPr>
    </w:p>
    <w:p w:rsidR="00000000" w:rsidRPr="00295688" w:rsidP="00295688">
      <w:pPr>
        <w:pStyle w:val="Heading1"/>
      </w:pPr>
      <w:bookmarkStart w:id="8" w:name="O_1049607"/>
      <w:bookmarkEnd w:id="8"/>
      <w:r w:rsidRPr="00295688">
        <w:t>Links</w:t>
      </w:r>
    </w:p>
    <w:p w:rsidR="00000000" w:rsidRPr="00295688" w:rsidP="005F6575">
      <w:pPr>
        <w:pStyle w:val="BodyText"/>
      </w:pPr>
      <w:r w:rsidRPr="00295688">
        <w:t>Companion Volumes, including Implementation Guides, are ava</w:t>
      </w:r>
      <w:r w:rsidRPr="00295688">
        <w:t xml:space="preserve">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1684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95688" w:rsidP="00295688"/>
    <w:sectPr w:rsidSect="00295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88" w:rsidRPr="005F6575" w:rsidP="005F6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75" w:rsidP="00295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575" w:rsidP="00295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6575" w:rsidP="00295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688" w:rsidRPr="005F6575" w:rsidP="005F6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75" w:rsidRPr="002D2AF8" w:rsidP="00295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ACMATE511 Carry out post-mortem examination of a research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F6575" w:rsidP="00295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02B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68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688"/>
  </w:style>
  <w:style w:type="character" w:customStyle="1" w:styleId="Heading1Char">
    <w:name w:val="Heading 1 Char"/>
    <w:basedOn w:val="DefaultParagraphFont"/>
    <w:link w:val="Heading1"/>
    <w:rsid w:val="00295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68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5688"/>
    <w:rPr>
      <w:i/>
    </w:rPr>
  </w:style>
  <w:style w:type="paragraph" w:customStyle="1" w:styleId="SuperHeading">
    <w:name w:val="SuperHeading"/>
    <w:basedOn w:val="Normal"/>
    <w:rsid w:val="00295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5688"/>
    <w:rPr>
      <w:b/>
    </w:rPr>
  </w:style>
  <w:style w:type="character" w:customStyle="1" w:styleId="Heading2Char">
    <w:name w:val="Heading 2 Char"/>
    <w:basedOn w:val="DefaultParagraphFont"/>
    <w:link w:val="Heading2"/>
    <w:rsid w:val="00295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688"/>
    <w:rPr>
      <w:b/>
      <w:spacing w:val="0"/>
    </w:rPr>
  </w:style>
  <w:style w:type="paragraph" w:customStyle="1" w:styleId="SuperTitle">
    <w:name w:val="SuperTitle"/>
    <w:basedOn w:val="Title"/>
    <w:rsid w:val="00295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6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688"/>
  </w:style>
  <w:style w:type="paragraph" w:styleId="TableofFigures">
    <w:name w:val="table of figures"/>
    <w:basedOn w:val="Normal"/>
    <w:next w:val="Normal"/>
    <w:semiHidden/>
    <w:rsid w:val="00295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688"/>
    <w:rPr>
      <w:rFonts w:ascii="Wingdings" w:hAnsi="Wingdings"/>
    </w:rPr>
  </w:style>
  <w:style w:type="paragraph" w:customStyle="1" w:styleId="TableHeading">
    <w:name w:val="Table Heading"/>
    <w:basedOn w:val="HeadingBase"/>
    <w:rsid w:val="00295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688"/>
    <w:rPr>
      <w:color w:val="0033CC"/>
      <w:u w:val="none"/>
    </w:rPr>
  </w:style>
  <w:style w:type="paragraph" w:customStyle="1" w:styleId="BodyTextRight">
    <w:name w:val="Body Text Right"/>
    <w:basedOn w:val="BodyText"/>
    <w:rsid w:val="00295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688"/>
    <w:rPr>
      <w:sz w:val="32"/>
    </w:rPr>
  </w:style>
  <w:style w:type="paragraph" w:customStyle="1" w:styleId="HeadingProcedure">
    <w:name w:val="Heading Procedure"/>
    <w:basedOn w:val="HeadingBase"/>
    <w:next w:val="Normal"/>
    <w:rsid w:val="00295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688"/>
    <w:pPr>
      <w:spacing w:before="60" w:after="60"/>
    </w:pPr>
  </w:style>
  <w:style w:type="paragraph" w:styleId="ListContinue">
    <w:name w:val="List Continue"/>
    <w:basedOn w:val="List"/>
    <w:rsid w:val="00295688"/>
    <w:pPr>
      <w:ind w:firstLine="0"/>
    </w:pPr>
  </w:style>
  <w:style w:type="paragraph" w:customStyle="1" w:styleId="ListNote">
    <w:name w:val="List Note"/>
    <w:basedOn w:val="List"/>
    <w:rsid w:val="00295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688"/>
    <w:rPr>
      <w:rFonts w:ascii="Courier New" w:hAnsi="Courier New"/>
    </w:rPr>
  </w:style>
  <w:style w:type="paragraph" w:customStyle="1" w:styleId="NoteBullet">
    <w:name w:val="Note Bullet"/>
    <w:basedOn w:val="Note"/>
    <w:rsid w:val="00295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688"/>
    <w:rPr>
      <w:b/>
      <w:smallCaps/>
    </w:rPr>
  </w:style>
  <w:style w:type="paragraph" w:customStyle="1" w:styleId="TableListNumber">
    <w:name w:val="Table List Number"/>
    <w:basedOn w:val="ListNumber"/>
    <w:rsid w:val="00295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688"/>
    <w:pPr>
      <w:numPr>
        <w:numId w:val="8"/>
      </w:numPr>
    </w:pPr>
  </w:style>
  <w:style w:type="paragraph" w:customStyle="1" w:styleId="ListAlpha2">
    <w:name w:val="List Alpha 2"/>
    <w:basedOn w:val="List2"/>
    <w:rsid w:val="00295688"/>
    <w:pPr>
      <w:numPr>
        <w:numId w:val="7"/>
      </w:numPr>
    </w:pPr>
  </w:style>
  <w:style w:type="paragraph" w:styleId="List2">
    <w:name w:val="List 2"/>
    <w:basedOn w:val="BodyText"/>
    <w:rsid w:val="00295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688"/>
    <w:pPr>
      <w:numPr>
        <w:numId w:val="3"/>
      </w:numPr>
    </w:pPr>
  </w:style>
  <w:style w:type="paragraph" w:styleId="ListContinue2">
    <w:name w:val="List Continue 2"/>
    <w:basedOn w:val="List2"/>
    <w:rsid w:val="00295688"/>
    <w:pPr>
      <w:ind w:firstLine="0"/>
    </w:pPr>
  </w:style>
  <w:style w:type="paragraph" w:styleId="ListContinue3">
    <w:name w:val="List Continue 3"/>
    <w:basedOn w:val="List3"/>
    <w:rsid w:val="00295688"/>
    <w:pPr>
      <w:ind w:left="1021" w:firstLine="0"/>
    </w:pPr>
  </w:style>
  <w:style w:type="paragraph" w:styleId="ListContinue4">
    <w:name w:val="List Continue 4"/>
    <w:basedOn w:val="List4"/>
    <w:rsid w:val="00295688"/>
    <w:pPr>
      <w:ind w:firstLine="0"/>
    </w:pPr>
  </w:style>
  <w:style w:type="paragraph" w:styleId="ListContinue5">
    <w:name w:val="List Continue 5"/>
    <w:basedOn w:val="List5"/>
    <w:rsid w:val="00295688"/>
    <w:pPr>
      <w:ind w:firstLine="0"/>
    </w:pPr>
  </w:style>
  <w:style w:type="paragraph" w:styleId="ListNumber3">
    <w:name w:val="List Number 3"/>
    <w:basedOn w:val="List3"/>
    <w:rsid w:val="00295688"/>
    <w:pPr>
      <w:numPr>
        <w:numId w:val="4"/>
      </w:numPr>
    </w:pPr>
  </w:style>
  <w:style w:type="paragraph" w:styleId="ListNumber4">
    <w:name w:val="List Number 4"/>
    <w:basedOn w:val="List4"/>
    <w:rsid w:val="00295688"/>
    <w:pPr>
      <w:numPr>
        <w:numId w:val="5"/>
      </w:numPr>
    </w:pPr>
  </w:style>
  <w:style w:type="paragraph" w:styleId="ListNumber5">
    <w:name w:val="List Number 5"/>
    <w:basedOn w:val="List5"/>
    <w:rsid w:val="00295688"/>
    <w:pPr>
      <w:numPr>
        <w:numId w:val="6"/>
      </w:numPr>
    </w:pPr>
  </w:style>
  <w:style w:type="paragraph" w:styleId="BlockText">
    <w:name w:val="Block Text"/>
    <w:basedOn w:val="Normal"/>
    <w:rsid w:val="00295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688"/>
    <w:rPr>
      <w:sz w:val="16"/>
      <w:vertAlign w:val="superscript"/>
    </w:rPr>
  </w:style>
  <w:style w:type="character" w:customStyle="1" w:styleId="Symbols">
    <w:name w:val="Symbols"/>
    <w:basedOn w:val="DefaultParagraphFont"/>
    <w:rsid w:val="00295688"/>
    <w:rPr>
      <w:rFonts w:ascii="Symbol" w:hAnsi="Symbol"/>
    </w:rPr>
  </w:style>
  <w:style w:type="character" w:customStyle="1" w:styleId="MenuOptions">
    <w:name w:val="Menu Options"/>
    <w:basedOn w:val="DefaultParagraphFont"/>
    <w:rsid w:val="00295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688"/>
    <w:rPr>
      <w:b/>
    </w:rPr>
  </w:style>
  <w:style w:type="character" w:customStyle="1" w:styleId="Underlined">
    <w:name w:val="Underlined"/>
    <w:basedOn w:val="DefaultParagraphFont"/>
    <w:rsid w:val="00295688"/>
    <w:rPr>
      <w:u w:val="single"/>
    </w:rPr>
  </w:style>
  <w:style w:type="paragraph" w:customStyle="1" w:styleId="TableBodyTextRight">
    <w:name w:val="Table Body Text Right"/>
    <w:basedOn w:val="TableBodyText"/>
    <w:rsid w:val="00295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688"/>
    <w:rPr>
      <w:sz w:val="18"/>
    </w:rPr>
  </w:style>
  <w:style w:type="paragraph" w:customStyle="1" w:styleId="BodySmallRight">
    <w:name w:val="Body Small Right"/>
    <w:basedOn w:val="BodyTextRight"/>
    <w:rsid w:val="00295688"/>
    <w:rPr>
      <w:sz w:val="18"/>
      <w:szCs w:val="18"/>
    </w:rPr>
  </w:style>
  <w:style w:type="paragraph" w:customStyle="1" w:styleId="MarginEdition">
    <w:name w:val="Margin Edition"/>
    <w:basedOn w:val="MarginNote"/>
    <w:rsid w:val="00295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688"/>
    <w:rPr>
      <w:sz w:val="2"/>
      <w:szCs w:val="2"/>
    </w:rPr>
  </w:style>
  <w:style w:type="character" w:customStyle="1" w:styleId="Small">
    <w:name w:val="Small"/>
    <w:basedOn w:val="DefaultParagraphFont"/>
    <w:rsid w:val="00295688"/>
    <w:rPr>
      <w:sz w:val="16"/>
    </w:rPr>
  </w:style>
  <w:style w:type="paragraph" w:customStyle="1" w:styleId="WideTable">
    <w:name w:val="Wide Table"/>
    <w:basedOn w:val="Normal"/>
    <w:rsid w:val="00295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688"/>
  </w:style>
  <w:style w:type="paragraph" w:styleId="Quote">
    <w:name w:val="Quote"/>
    <w:basedOn w:val="Heading1"/>
    <w:link w:val="QuoteChar"/>
    <w:qFormat/>
    <w:rsid w:val="00295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688"/>
    <w:pPr>
      <w:pageBreakBefore/>
    </w:pPr>
  </w:style>
  <w:style w:type="paragraph" w:customStyle="1" w:styleId="Border">
    <w:name w:val="Border"/>
    <w:basedOn w:val="Normal"/>
    <w:qFormat/>
    <w:rsid w:val="00295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688"/>
    <w:rPr>
      <w:u w:val="single"/>
    </w:rPr>
  </w:style>
  <w:style w:type="character" w:customStyle="1" w:styleId="BoldandItalics">
    <w:name w:val="Bold and Italics"/>
    <w:qFormat/>
    <w:rsid w:val="00295688"/>
    <w:rPr>
      <w:b/>
      <w:i/>
      <w:u w:val="none"/>
    </w:rPr>
  </w:style>
  <w:style w:type="paragraph" w:styleId="BalloonText">
    <w:name w:val="Balloon Text"/>
    <w:basedOn w:val="Normal"/>
    <w:link w:val="BalloonTextChar"/>
    <w:rsid w:val="00295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6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6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4252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ACMATE511 Carry out post-mortem examination of a research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