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C5E46" w:rsidP="00EC5E4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ACMATE511 Carry out post-mortem examination of a research animal</w:t>
      </w:r>
      <w:r>
        <w:fldChar w:fldCharType="end"/>
      </w:r>
    </w:p>
    <w:p w:rsidR="00EC5E46" w:rsidP="00EC5E46">
      <w:pPr>
        <w:pStyle w:val="Version"/>
        <w:sectPr w:rsidSect="008919E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919E5" w:rsidP="008919E5">
      <w:pPr>
        <w:pStyle w:val="SuperHeading"/>
      </w:pPr>
      <w:r w:rsidRPr="008919E5">
        <w:t>Assessment Requirements for ACMATE511 Carry out post-mortem examination of a research animal</w:t>
      </w:r>
    </w:p>
    <w:p w:rsidR="00000000" w:rsidRPr="008919E5" w:rsidP="008919E5">
      <w:pPr>
        <w:pStyle w:val="Heading1"/>
      </w:pPr>
      <w:bookmarkStart w:id="1" w:name="O_1049602"/>
      <w:bookmarkEnd w:id="1"/>
      <w:r w:rsidRPr="008919E5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8919E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19E5">
            <w:pPr>
              <w:pStyle w:val="BodyTextBold"/>
              <w:rPr>
                <w:lang w:val="en-NZ"/>
              </w:rPr>
            </w:pPr>
            <w:r w:rsidRPr="008919E5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19E5">
            <w:pPr>
              <w:pStyle w:val="BodyTextBold"/>
              <w:rPr>
                <w:lang w:val="en-NZ"/>
              </w:rPr>
            </w:pPr>
            <w:r w:rsidRPr="008919E5">
              <w:t>Comments</w:t>
            </w:r>
          </w:p>
        </w:tc>
      </w:tr>
      <w:tr w:rsidTr="008919E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19E5">
            <w:pPr>
              <w:pStyle w:val="BodyText"/>
              <w:rPr>
                <w:lang w:val="en-NZ"/>
              </w:rPr>
            </w:pPr>
            <w:r w:rsidRPr="008919E5">
              <w:t>Release 2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19E5">
            <w:pPr>
              <w:pStyle w:val="BodyText"/>
              <w:rPr>
                <w:lang w:val="en-NZ"/>
              </w:rPr>
            </w:pPr>
            <w:r w:rsidRPr="008919E5">
              <w:t>This version released with ACM Animal Care and Management Training Package Version 3.0.</w:t>
            </w:r>
          </w:p>
        </w:tc>
      </w:tr>
      <w:tr w:rsidTr="008919E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19E5">
            <w:pPr>
              <w:pStyle w:val="BodyText"/>
              <w:rPr>
                <w:lang w:val="en-NZ"/>
              </w:rPr>
            </w:pPr>
            <w:r w:rsidRPr="008919E5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19E5" w:rsidP="008919E5">
            <w:pPr>
              <w:pStyle w:val="BodyText"/>
            </w:pPr>
            <w:r w:rsidRPr="008919E5">
              <w:t>This version released with ACM Animal Care and Management Training Package Version 1.0.</w:t>
            </w:r>
          </w:p>
        </w:tc>
      </w:tr>
    </w:tbl>
    <w:p w:rsidR="00000000" w:rsidRPr="008919E5" w:rsidP="008919E5">
      <w:pPr>
        <w:pStyle w:val="BodyText"/>
      </w:pPr>
    </w:p>
    <w:p w:rsidR="00000000" w:rsidRPr="008919E5" w:rsidP="008919E5">
      <w:pPr>
        <w:pStyle w:val="AllowPageBreak"/>
      </w:pPr>
    </w:p>
    <w:p w:rsidR="00000000" w:rsidRPr="008919E5" w:rsidP="008919E5">
      <w:pPr>
        <w:pStyle w:val="Heading1"/>
      </w:pPr>
      <w:bookmarkStart w:id="2" w:name="O_1049603"/>
      <w:bookmarkEnd w:id="2"/>
      <w:r w:rsidRPr="008919E5">
        <w:t>Performance Evidence</w:t>
      </w:r>
    </w:p>
    <w:p w:rsidR="00000000" w:rsidRPr="008919E5" w:rsidP="00EC5E46">
      <w:pPr>
        <w:pStyle w:val="BodyText"/>
      </w:pPr>
      <w:r w:rsidRPr="008919E5">
        <w:t xml:space="preserve">An individual demonstrating competency must satisfy all of the elements and performance criteria in this unit. </w:t>
      </w:r>
    </w:p>
    <w:p w:rsidR="00000000" w:rsidRPr="008919E5" w:rsidP="00EC5E46">
      <w:pPr>
        <w:pStyle w:val="BodyText"/>
      </w:pPr>
      <w:r w:rsidRPr="008919E5">
        <w:t>Ther</w:t>
      </w:r>
      <w:r w:rsidRPr="008919E5">
        <w:t>e must be evidence that the individual has:</w:t>
      </w:r>
    </w:p>
    <w:p w:rsidR="00000000" w:rsidRPr="008919E5" w:rsidP="008919E5">
      <w:pPr>
        <w:pStyle w:val="ListBullet"/>
      </w:pPr>
      <w:r w:rsidRPr="008919E5">
        <w:t>prepared for and carried out at least two post-mortem examinations of research animals</w:t>
      </w:r>
    </w:p>
    <w:p w:rsidR="00000000" w:rsidRPr="008919E5" w:rsidP="008919E5">
      <w:pPr>
        <w:pStyle w:val="ListBullet"/>
      </w:pPr>
      <w:r w:rsidRPr="008919E5">
        <w:t xml:space="preserve">collated records and data and prepared a brief or report of normal and abnormal findings for relevant persons for each post-mortem examination. </w:t>
      </w:r>
    </w:p>
    <w:p w:rsidR="00000000" w:rsidRPr="008919E5" w:rsidP="008919E5">
      <w:pPr>
        <w:pStyle w:val="AllowPageBreak"/>
      </w:pPr>
    </w:p>
    <w:p w:rsidR="00000000" w:rsidRPr="008919E5" w:rsidP="008919E5">
      <w:pPr>
        <w:pStyle w:val="Heading1"/>
      </w:pPr>
      <w:bookmarkStart w:id="3" w:name="O_1049604"/>
      <w:bookmarkEnd w:id="3"/>
      <w:r w:rsidRPr="008919E5">
        <w:t>Knowledge Evidence</w:t>
      </w:r>
    </w:p>
    <w:p w:rsidR="00000000" w:rsidRPr="008919E5" w:rsidP="00EC5E46">
      <w:pPr>
        <w:pStyle w:val="BodyText"/>
      </w:pPr>
      <w:r w:rsidRPr="008919E5">
        <w:t>An individual must be able to demonstrate the knowledge required to perfo</w:t>
      </w:r>
      <w:r w:rsidRPr="008919E5">
        <w:t>rm the tasks outlined in the elements and performance criteria of this unit. This includes knowledge of:</w:t>
      </w:r>
    </w:p>
    <w:p w:rsidR="00000000" w:rsidRPr="008919E5" w:rsidP="008919E5">
      <w:pPr>
        <w:pStyle w:val="ListBullet"/>
      </w:pPr>
      <w:r w:rsidRPr="008919E5">
        <w:t>principles and practices for carrying out post-mortem examination of research animals</w:t>
      </w:r>
    </w:p>
    <w:p w:rsidR="00000000" w:rsidRPr="008919E5" w:rsidP="008919E5">
      <w:pPr>
        <w:pStyle w:val="ListBullet"/>
      </w:pPr>
      <w:r w:rsidRPr="008919E5">
        <w:t>animal biology, anatomy and basic physiology of the range of spe</w:t>
      </w:r>
      <w:r w:rsidRPr="008919E5">
        <w:t>cies in the organisation</w:t>
      </w:r>
      <w:r>
        <w:t>’</w:t>
      </w:r>
      <w:r w:rsidRPr="008919E5">
        <w:t>s research program, including the position, features and appearance of major organs in healthy animals of the species being examined</w:t>
      </w:r>
    </w:p>
    <w:p w:rsidR="00000000" w:rsidRPr="008919E5" w:rsidP="008919E5">
      <w:pPr>
        <w:pStyle w:val="ListBullet"/>
      </w:pPr>
      <w:r w:rsidRPr="008919E5">
        <w:t>basic anatomical and physiological features for the species being examined</w:t>
      </w:r>
    </w:p>
    <w:p w:rsidR="00000000" w:rsidRPr="008919E5" w:rsidP="008919E5">
      <w:pPr>
        <w:pStyle w:val="ListBullet"/>
      </w:pPr>
      <w:r w:rsidRPr="008919E5">
        <w:t>terminology and formats</w:t>
      </w:r>
      <w:r w:rsidRPr="008919E5">
        <w:t xml:space="preserve"> to document findings in post-mortem examinations</w:t>
      </w:r>
    </w:p>
    <w:p w:rsidR="00000000" w:rsidRPr="008919E5" w:rsidP="008919E5">
      <w:pPr>
        <w:pStyle w:val="ListBullet"/>
      </w:pPr>
      <w:r w:rsidRPr="008919E5">
        <w:t>sequence of actions in conducting a post-mortem</w:t>
      </w:r>
    </w:p>
    <w:p w:rsidR="00000000" w:rsidRPr="008919E5" w:rsidP="008919E5">
      <w:pPr>
        <w:pStyle w:val="ListBullet"/>
      </w:pPr>
      <w:r w:rsidRPr="008919E5">
        <w:t>relevance of background or phenotype and how these impact on post-mortem findings</w:t>
      </w:r>
    </w:p>
    <w:p w:rsidR="00000000" w:rsidRPr="008919E5" w:rsidP="008919E5">
      <w:pPr>
        <w:pStyle w:val="ListBullet"/>
      </w:pPr>
      <w:r w:rsidRPr="008919E5">
        <w:t>biosecurity and biohazard issues (for animals and humans), including:</w:t>
      </w:r>
    </w:p>
    <w:p w:rsidR="00000000" w:rsidRPr="008919E5" w:rsidP="008919E5">
      <w:pPr>
        <w:pStyle w:val="ListBullet2"/>
      </w:pPr>
      <w:r w:rsidRPr="008919E5">
        <w:t>defin</w:t>
      </w:r>
      <w:r w:rsidRPr="008919E5">
        <w:t>itions of biosecurity, biohazard, quarantine and isolation</w:t>
      </w:r>
    </w:p>
    <w:p w:rsidR="00000000" w:rsidRPr="008919E5" w:rsidP="008919E5">
      <w:pPr>
        <w:pStyle w:val="ListBullet2"/>
      </w:pPr>
      <w:r w:rsidRPr="008919E5">
        <w:t>post-mortem examination and the collection and disposal of samples from animals</w:t>
      </w:r>
    </w:p>
    <w:p w:rsidR="00000000" w:rsidRPr="008919E5" w:rsidP="008919E5">
      <w:pPr>
        <w:pStyle w:val="ListBullet2"/>
      </w:pPr>
      <w:r w:rsidRPr="008919E5">
        <w:t xml:space="preserve">facility classification and biocontainment levels </w:t>
      </w:r>
    </w:p>
    <w:p w:rsidR="00000000" w:rsidRPr="008919E5" w:rsidP="008919E5">
      <w:pPr>
        <w:pStyle w:val="ListBullet"/>
      </w:pPr>
      <w:r w:rsidRPr="008919E5">
        <w:t>methods and equipment used to collect and prepare tissue and fluid samples for transport to testing area</w:t>
      </w:r>
    </w:p>
    <w:p w:rsidR="00000000" w:rsidRPr="008919E5" w:rsidP="008919E5">
      <w:pPr>
        <w:pStyle w:val="ListBullet"/>
      </w:pPr>
      <w:r w:rsidRPr="008919E5">
        <w:t>organisational policies and safe work procedures, including work health and safety (WHS) and emergency procedures</w:t>
      </w:r>
    </w:p>
    <w:p w:rsidR="00000000" w:rsidRPr="008919E5" w:rsidP="008919E5">
      <w:pPr>
        <w:pStyle w:val="ListBullet"/>
      </w:pPr>
      <w:r w:rsidRPr="008919E5">
        <w:t>key features of the Australian Code f</w:t>
      </w:r>
      <w:r w:rsidRPr="008919E5">
        <w:t>or the Care and Use of Animals for Scientific Purposes relevant to carrying out post-mortems</w:t>
      </w:r>
    </w:p>
    <w:p w:rsidR="00000000" w:rsidRPr="008919E5" w:rsidP="008919E5">
      <w:pPr>
        <w:pStyle w:val="ListBullet"/>
      </w:pPr>
      <w:r w:rsidRPr="008919E5">
        <w:t>key requirements of relevant state or territory legislation and regulations, relating to conducting post-mortem examinations</w:t>
      </w:r>
    </w:p>
    <w:p w:rsidR="00000000" w:rsidRPr="008919E5" w:rsidP="008919E5">
      <w:pPr>
        <w:pStyle w:val="ListBullet"/>
      </w:pPr>
      <w:r w:rsidRPr="008919E5">
        <w:t>requirements for the correct preparati</w:t>
      </w:r>
      <w:r w:rsidRPr="008919E5">
        <w:t>on, labelling, packaging and disposal of biological and potentially hazardous samples</w:t>
      </w:r>
    </w:p>
    <w:p w:rsidR="00000000" w:rsidRPr="008919E5" w:rsidP="008919E5">
      <w:pPr>
        <w:pStyle w:val="ListBullet"/>
      </w:pPr>
      <w:r w:rsidRPr="008919E5">
        <w:t>specific post-mortem and biosecurity clean-up and disposal techniques, equipment and materials</w:t>
      </w:r>
    </w:p>
    <w:p w:rsidR="00000000" w:rsidRPr="008919E5" w:rsidP="008919E5">
      <w:pPr>
        <w:pStyle w:val="ListBullet"/>
      </w:pPr>
      <w:r w:rsidRPr="008919E5">
        <w:t>workplace hygiene standards, disinfectants, and cleaning agents, techniques</w:t>
      </w:r>
      <w:r w:rsidRPr="008919E5">
        <w:t xml:space="preserve"> and equipment and materials.</w:t>
      </w:r>
    </w:p>
    <w:p w:rsidR="00000000" w:rsidRPr="008919E5" w:rsidP="008919E5">
      <w:pPr>
        <w:pStyle w:val="AllowPageBreak"/>
      </w:pPr>
    </w:p>
    <w:p w:rsidR="00000000" w:rsidRPr="008919E5" w:rsidP="008919E5">
      <w:pPr>
        <w:pStyle w:val="Heading1"/>
      </w:pPr>
      <w:bookmarkStart w:id="4" w:name="O_1049605"/>
      <w:bookmarkEnd w:id="4"/>
      <w:r w:rsidRPr="008919E5">
        <w:t>Assessment Conditions</w:t>
      </w:r>
    </w:p>
    <w:p w:rsidR="00000000" w:rsidRPr="008919E5" w:rsidP="00EC5E46">
      <w:pPr>
        <w:pStyle w:val="BodyText"/>
      </w:pPr>
      <w:r w:rsidRPr="008919E5">
        <w:t xml:space="preserve">Assessment of skills must take place under the following conditions: </w:t>
      </w:r>
    </w:p>
    <w:p w:rsidR="00000000" w:rsidRPr="008919E5" w:rsidP="008919E5">
      <w:pPr>
        <w:pStyle w:val="ListBullet"/>
      </w:pPr>
      <w:r w:rsidRPr="008919E5">
        <w:t>physical conditions:</w:t>
      </w:r>
    </w:p>
    <w:p w:rsidR="00000000" w:rsidRPr="008919E5" w:rsidP="008919E5">
      <w:pPr>
        <w:pStyle w:val="ListBullet2"/>
      </w:pPr>
      <w:r w:rsidRPr="008919E5">
        <w:t>skills must be demonstrated in a workplace setting or an environment that accurately represe</w:t>
      </w:r>
      <w:r w:rsidRPr="008919E5">
        <w:t>nts workplace conditions</w:t>
      </w:r>
    </w:p>
    <w:p w:rsidR="00000000" w:rsidRPr="008919E5" w:rsidP="008919E5">
      <w:pPr>
        <w:pStyle w:val="ListBullet"/>
      </w:pPr>
      <w:r w:rsidRPr="008919E5">
        <w:t>resources, equipment and materials:</w:t>
      </w:r>
    </w:p>
    <w:p w:rsidR="00000000" w:rsidRPr="008919E5" w:rsidP="008919E5">
      <w:pPr>
        <w:pStyle w:val="ListBullet2"/>
      </w:pPr>
      <w:r w:rsidRPr="008919E5">
        <w:t>equipment and resources used when conducting a post-mortem examination, including personal protective equipment</w:t>
      </w:r>
    </w:p>
    <w:p w:rsidR="00000000" w:rsidRPr="008919E5" w:rsidP="008919E5">
      <w:pPr>
        <w:pStyle w:val="ListBullet2"/>
      </w:pPr>
      <w:r w:rsidRPr="008919E5">
        <w:t>research animals for post-mortem examination</w:t>
      </w:r>
    </w:p>
    <w:p w:rsidR="00000000" w:rsidRPr="008919E5" w:rsidP="008919E5">
      <w:pPr>
        <w:pStyle w:val="ListBullet"/>
      </w:pPr>
      <w:r w:rsidRPr="008919E5">
        <w:t>specifications:</w:t>
      </w:r>
    </w:p>
    <w:p w:rsidR="00000000" w:rsidRPr="008919E5" w:rsidP="008919E5">
      <w:pPr>
        <w:pStyle w:val="ListBullet2"/>
      </w:pPr>
      <w:r w:rsidRPr="008919E5">
        <w:t>organisational policies and procedures, legislation, regulations, standards and codes of practice relevant to work undertaken in animal research.</w:t>
      </w:r>
    </w:p>
    <w:p w:rsidR="00000000" w:rsidRPr="008919E5" w:rsidP="00EC5E46">
      <w:pPr>
        <w:pStyle w:val="BodyText"/>
      </w:pPr>
      <w:r w:rsidRPr="008919E5">
        <w:t>Assessors of this unit must satisfy the requirements for assessors in applicable vocational education and trai</w:t>
      </w:r>
      <w:r w:rsidRPr="008919E5">
        <w:t>ning legislation, frameworks and/or standards.</w:t>
      </w:r>
    </w:p>
    <w:p w:rsidR="00000000" w:rsidRPr="008919E5" w:rsidP="008919E5">
      <w:pPr>
        <w:pStyle w:val="Heading1"/>
      </w:pPr>
      <w:bookmarkStart w:id="5" w:name="O_1049608"/>
      <w:bookmarkEnd w:id="5"/>
      <w:r w:rsidRPr="008919E5">
        <w:t>Links</w:t>
      </w:r>
    </w:p>
    <w:p w:rsidR="00000000" w:rsidRPr="008919E5" w:rsidP="00EC5E46">
      <w:pPr>
        <w:pStyle w:val="BodyText"/>
      </w:pPr>
      <w:r w:rsidRPr="008919E5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"https://vetnet.gov.au/Pages/TrainingDocs.aspx?q=b75f4b23-54c9-4cc9-a5db-d3502d154103" </w:instrText>
      </w:r>
      <w:r>
        <w:fldChar w:fldCharType="separate"/>
      </w:r>
      <w:r w:rsidRPr="00795FA5">
        <w:rPr>
          <w:rStyle w:val="Hyperlink"/>
        </w:rPr>
        <w:t>https://vetnet.gov.au/Pages/TrainingDocs.aspx?q=b75f4b23-54c9-4cc9-a5db-d3502d154103</w:t>
      </w:r>
      <w:r>
        <w:fldChar w:fldCharType="end"/>
      </w:r>
    </w:p>
    <w:p w:rsidR="00000000" w:rsidRPr="008919E5" w:rsidP="008919E5"/>
    <w:sectPr w:rsidSect="008919E5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19E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19E5" w:rsidRPr="00EC5E46" w:rsidP="00EC5E4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19E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5E46" w:rsidP="008919E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EC5E46" w:rsidP="008919E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EC5E46" w:rsidP="008919E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19E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5E4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919E5" w:rsidRPr="00EC5E46" w:rsidP="00EC5E4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19E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5E46" w:rsidRPr="002D2AF8" w:rsidP="008919E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ACMATE511 Carry out post-mortem examination of a research animal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16 July 2022</w:t>
    </w:r>
    <w:r>
      <w:fldChar w:fldCharType="end"/>
    </w:r>
  </w:p>
  <w:p w:rsidR="00EC5E46" w:rsidP="008919E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2E9096A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B5AAC32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E0E2F75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919E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919E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919E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919E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919E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919E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919E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919E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919E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919E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919E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919E5"/>
  </w:style>
  <w:style w:type="character" w:customStyle="1" w:styleId="Heading1Char">
    <w:name w:val="Heading 1 Char"/>
    <w:basedOn w:val="DefaultParagraphFont"/>
    <w:link w:val="Heading1"/>
    <w:rsid w:val="008919E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919E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919E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919E5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8919E5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8919E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919E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8919E5"/>
    <w:rPr>
      <w:b/>
    </w:rPr>
  </w:style>
  <w:style w:type="character" w:customStyle="1" w:styleId="Heading2Char">
    <w:name w:val="Heading 2 Char"/>
    <w:basedOn w:val="DefaultParagraphFont"/>
    <w:link w:val="Heading2"/>
    <w:rsid w:val="008919E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919E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919E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919E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919E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919E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919E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919E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919E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919E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919E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919E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919E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919E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919E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919E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919E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919E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919E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919E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8919E5"/>
    <w:rPr>
      <w:b/>
      <w:spacing w:val="0"/>
    </w:rPr>
  </w:style>
  <w:style w:type="paragraph" w:customStyle="1" w:styleId="SuperTitle">
    <w:name w:val="SuperTitle"/>
    <w:basedOn w:val="Title"/>
    <w:rsid w:val="008919E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919E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919E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8919E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919E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919E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919E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919E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919E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919E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919E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919E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919E5"/>
    <w:rPr>
      <w:i/>
    </w:rPr>
  </w:style>
  <w:style w:type="paragraph" w:styleId="Caption">
    <w:name w:val="caption"/>
    <w:basedOn w:val="BodyText"/>
    <w:next w:val="Normal"/>
    <w:qFormat/>
    <w:rsid w:val="008919E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919E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919E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919E5"/>
  </w:style>
  <w:style w:type="paragraph" w:styleId="TableofFigures">
    <w:name w:val="table of figures"/>
    <w:basedOn w:val="Normal"/>
    <w:next w:val="Normal"/>
    <w:semiHidden/>
    <w:rsid w:val="008919E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919E5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8919E5"/>
    <w:rPr>
      <w:rFonts w:ascii="Wingdings" w:hAnsi="Wingdings"/>
    </w:rPr>
  </w:style>
  <w:style w:type="paragraph" w:customStyle="1" w:styleId="TableHeading">
    <w:name w:val="Table Heading"/>
    <w:basedOn w:val="HeadingBase"/>
    <w:rsid w:val="008919E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919E5"/>
    <w:rPr>
      <w:color w:val="0033CC"/>
      <w:u w:val="none"/>
    </w:rPr>
  </w:style>
  <w:style w:type="paragraph" w:customStyle="1" w:styleId="BodyTextRight">
    <w:name w:val="Body Text Right"/>
    <w:basedOn w:val="BodyText"/>
    <w:rsid w:val="008919E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919E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919E5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919E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919E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919E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919E5"/>
    <w:rPr>
      <w:sz w:val="32"/>
    </w:rPr>
  </w:style>
  <w:style w:type="paragraph" w:customStyle="1" w:styleId="HeadingProcedure">
    <w:name w:val="Heading Procedure"/>
    <w:basedOn w:val="HeadingBase"/>
    <w:next w:val="Normal"/>
    <w:rsid w:val="008919E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919E5"/>
    <w:pPr>
      <w:spacing w:before="60" w:after="60"/>
    </w:pPr>
  </w:style>
  <w:style w:type="paragraph" w:styleId="ListContinue">
    <w:name w:val="List Continue"/>
    <w:basedOn w:val="List"/>
    <w:rsid w:val="008919E5"/>
    <w:pPr>
      <w:ind w:firstLine="0"/>
    </w:pPr>
  </w:style>
  <w:style w:type="paragraph" w:customStyle="1" w:styleId="ListNote">
    <w:name w:val="List Note"/>
    <w:basedOn w:val="List"/>
    <w:rsid w:val="008919E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919E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919E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919E5"/>
    <w:rPr>
      <w:rFonts w:ascii="Courier New" w:hAnsi="Courier New"/>
    </w:rPr>
  </w:style>
  <w:style w:type="paragraph" w:customStyle="1" w:styleId="NoteBullet">
    <w:name w:val="Note Bullet"/>
    <w:basedOn w:val="Note"/>
    <w:rsid w:val="008919E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919E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919E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919E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919E5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8919E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919E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919E5"/>
    <w:rPr>
      <w:b/>
      <w:smallCaps/>
    </w:rPr>
  </w:style>
  <w:style w:type="paragraph" w:customStyle="1" w:styleId="TableListNumber">
    <w:name w:val="Table List Number"/>
    <w:basedOn w:val="ListNumber"/>
    <w:rsid w:val="008919E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919E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919E5"/>
    <w:pPr>
      <w:numPr>
        <w:numId w:val="9"/>
      </w:numPr>
    </w:pPr>
  </w:style>
  <w:style w:type="paragraph" w:customStyle="1" w:styleId="ListAlpha2">
    <w:name w:val="List Alpha 2"/>
    <w:basedOn w:val="List2"/>
    <w:rsid w:val="008919E5"/>
    <w:pPr>
      <w:numPr>
        <w:numId w:val="8"/>
      </w:numPr>
    </w:pPr>
  </w:style>
  <w:style w:type="paragraph" w:styleId="List2">
    <w:name w:val="List 2"/>
    <w:basedOn w:val="BodyText"/>
    <w:rsid w:val="008919E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919E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919E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919E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919E5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919E5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8919E5"/>
    <w:pPr>
      <w:numPr>
        <w:numId w:val="4"/>
      </w:numPr>
    </w:pPr>
  </w:style>
  <w:style w:type="paragraph" w:styleId="ListContinue2">
    <w:name w:val="List Continue 2"/>
    <w:basedOn w:val="List2"/>
    <w:rsid w:val="008919E5"/>
    <w:pPr>
      <w:ind w:firstLine="0"/>
    </w:pPr>
  </w:style>
  <w:style w:type="paragraph" w:styleId="ListContinue3">
    <w:name w:val="List Continue 3"/>
    <w:basedOn w:val="List3"/>
    <w:rsid w:val="008919E5"/>
    <w:pPr>
      <w:ind w:left="1021" w:firstLine="0"/>
    </w:pPr>
  </w:style>
  <w:style w:type="paragraph" w:styleId="ListContinue4">
    <w:name w:val="List Continue 4"/>
    <w:basedOn w:val="List4"/>
    <w:rsid w:val="008919E5"/>
    <w:pPr>
      <w:ind w:firstLine="0"/>
    </w:pPr>
  </w:style>
  <w:style w:type="paragraph" w:styleId="ListContinue5">
    <w:name w:val="List Continue 5"/>
    <w:basedOn w:val="List5"/>
    <w:rsid w:val="008919E5"/>
    <w:pPr>
      <w:ind w:firstLine="0"/>
    </w:pPr>
  </w:style>
  <w:style w:type="paragraph" w:styleId="ListNumber3">
    <w:name w:val="List Number 3"/>
    <w:basedOn w:val="List3"/>
    <w:rsid w:val="008919E5"/>
    <w:pPr>
      <w:numPr>
        <w:numId w:val="5"/>
      </w:numPr>
    </w:pPr>
  </w:style>
  <w:style w:type="paragraph" w:styleId="ListNumber4">
    <w:name w:val="List Number 4"/>
    <w:basedOn w:val="List4"/>
    <w:rsid w:val="008919E5"/>
    <w:pPr>
      <w:numPr>
        <w:numId w:val="6"/>
      </w:numPr>
    </w:pPr>
  </w:style>
  <w:style w:type="paragraph" w:styleId="ListNumber5">
    <w:name w:val="List Number 5"/>
    <w:basedOn w:val="List5"/>
    <w:rsid w:val="008919E5"/>
    <w:pPr>
      <w:numPr>
        <w:numId w:val="7"/>
      </w:numPr>
    </w:pPr>
  </w:style>
  <w:style w:type="paragraph" w:styleId="BlockText">
    <w:name w:val="Block Text"/>
    <w:basedOn w:val="Normal"/>
    <w:rsid w:val="008919E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919E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919E5"/>
    <w:rPr>
      <w:sz w:val="16"/>
      <w:vertAlign w:val="superscript"/>
    </w:rPr>
  </w:style>
  <w:style w:type="character" w:customStyle="1" w:styleId="Symbols">
    <w:name w:val="Symbols"/>
    <w:basedOn w:val="DefaultParagraphFont"/>
    <w:rsid w:val="008919E5"/>
    <w:rPr>
      <w:rFonts w:ascii="Symbol" w:hAnsi="Symbol"/>
    </w:rPr>
  </w:style>
  <w:style w:type="character" w:customStyle="1" w:styleId="MenuOptions">
    <w:name w:val="Menu Options"/>
    <w:basedOn w:val="DefaultParagraphFont"/>
    <w:rsid w:val="008919E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919E5"/>
    <w:rPr>
      <w:b/>
    </w:rPr>
  </w:style>
  <w:style w:type="character" w:customStyle="1" w:styleId="Underlined">
    <w:name w:val="Underlined"/>
    <w:basedOn w:val="DefaultParagraphFont"/>
    <w:rsid w:val="008919E5"/>
    <w:rPr>
      <w:u w:val="single"/>
    </w:rPr>
  </w:style>
  <w:style w:type="paragraph" w:customStyle="1" w:styleId="TableBodyTextRight">
    <w:name w:val="Table Body Text Right"/>
    <w:basedOn w:val="TableBodyText"/>
    <w:rsid w:val="008919E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919E5"/>
    <w:rPr>
      <w:sz w:val="18"/>
    </w:rPr>
  </w:style>
  <w:style w:type="paragraph" w:customStyle="1" w:styleId="BodySmallRight">
    <w:name w:val="Body Small Right"/>
    <w:basedOn w:val="BodyTextRight"/>
    <w:rsid w:val="008919E5"/>
    <w:rPr>
      <w:sz w:val="18"/>
      <w:szCs w:val="18"/>
    </w:rPr>
  </w:style>
  <w:style w:type="paragraph" w:customStyle="1" w:styleId="MarginEdition">
    <w:name w:val="Margin Edition"/>
    <w:basedOn w:val="MarginNote"/>
    <w:rsid w:val="008919E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919E5"/>
    <w:rPr>
      <w:sz w:val="2"/>
      <w:szCs w:val="2"/>
    </w:rPr>
  </w:style>
  <w:style w:type="character" w:customStyle="1" w:styleId="Small">
    <w:name w:val="Small"/>
    <w:basedOn w:val="DefaultParagraphFont"/>
    <w:rsid w:val="008919E5"/>
    <w:rPr>
      <w:sz w:val="16"/>
    </w:rPr>
  </w:style>
  <w:style w:type="paragraph" w:customStyle="1" w:styleId="WideTable">
    <w:name w:val="Wide Table"/>
    <w:basedOn w:val="Normal"/>
    <w:rsid w:val="008919E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919E5"/>
  </w:style>
  <w:style w:type="paragraph" w:styleId="Quote">
    <w:name w:val="Quote"/>
    <w:basedOn w:val="Heading1"/>
    <w:link w:val="QuoteChar"/>
    <w:qFormat/>
    <w:rsid w:val="008919E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919E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919E5"/>
    <w:pPr>
      <w:pageBreakBefore/>
    </w:pPr>
  </w:style>
  <w:style w:type="paragraph" w:customStyle="1" w:styleId="Border">
    <w:name w:val="Border"/>
    <w:basedOn w:val="Normal"/>
    <w:qFormat/>
    <w:rsid w:val="008919E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919E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919E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919E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919E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919E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919E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919E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919E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919E5"/>
    <w:rPr>
      <w:u w:val="single"/>
    </w:rPr>
  </w:style>
  <w:style w:type="character" w:customStyle="1" w:styleId="BoldandItalics">
    <w:name w:val="Bold and Italics"/>
    <w:qFormat/>
    <w:rsid w:val="008919E5"/>
    <w:rPr>
      <w:b/>
      <w:i/>
      <w:u w:val="none"/>
    </w:rPr>
  </w:style>
  <w:style w:type="paragraph" w:styleId="BalloonText">
    <w:name w:val="Balloon Text"/>
    <w:basedOn w:val="Normal"/>
    <w:link w:val="BalloonTextChar"/>
    <w:rsid w:val="008919E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919E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919E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919E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919E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919E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919E5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EC5E4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494</Words>
  <Characters>3286</Characters>
  <Application>Microsoft Office Word</Application>
  <DocSecurity>0</DocSecurity>
  <Lines>78</Lines>
  <Paragraphs>54</Paragraphs>
  <ScaleCrop>false</ScaleCrop>
  <Company>Author-it Software Corporation Ltd.</Company>
  <LinksUpToDate>false</LinksUpToDate>
  <CharactersWithSpaces>3726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ACMATE511 Carry out post-mortem examination of a research animal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2022-07-16T08:42:00Z</dcterms:created>
  <dcterms:modified xsi:type="dcterms:W3CDTF">2022-07-16T08:42:00Z</dcterms:modified>
</cp:coreProperties>
</file>