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5A9" w:rsidP="002575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ACMATE506 Assist to collect and transfer embryos of mice</w:t>
      </w:r>
      <w:r>
        <w:fldChar w:fldCharType="end"/>
      </w:r>
    </w:p>
    <w:p w:rsidR="002575A9" w:rsidP="002575A9">
      <w:pPr>
        <w:pStyle w:val="Version"/>
        <w:sectPr w:rsidSect="00772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20AE" w:rsidP="007720AE">
      <w:pPr>
        <w:pStyle w:val="SuperHeading"/>
      </w:pPr>
      <w:r w:rsidRPr="007720AE">
        <w:t>Assessment Requirements for ACMATE506 Assist to collect and transfer embryos of mice</w:t>
      </w:r>
    </w:p>
    <w:p w:rsidR="00000000" w:rsidRPr="007720AE" w:rsidP="007720AE">
      <w:pPr>
        <w:pStyle w:val="Heading1"/>
      </w:pPr>
      <w:bookmarkStart w:id="1" w:name="O_1049522"/>
      <w:bookmarkEnd w:id="1"/>
      <w:r w:rsidRPr="007720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2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AE">
            <w:pPr>
              <w:pStyle w:val="BodyTextBold"/>
              <w:rPr>
                <w:lang w:val="en-NZ"/>
              </w:rPr>
            </w:pPr>
            <w:r w:rsidRPr="007720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AE">
            <w:pPr>
              <w:pStyle w:val="BodyTextBold"/>
              <w:rPr>
                <w:lang w:val="en-NZ"/>
              </w:rPr>
            </w:pPr>
            <w:r w:rsidRPr="007720AE">
              <w:t>Comments</w:t>
            </w:r>
          </w:p>
        </w:tc>
      </w:tr>
      <w:tr w:rsidTr="00772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AE">
            <w:pPr>
              <w:pStyle w:val="BodyText"/>
              <w:rPr>
                <w:lang w:val="en-NZ"/>
              </w:rPr>
            </w:pPr>
            <w:r w:rsidRPr="007720A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AE">
            <w:pPr>
              <w:pStyle w:val="BodyText"/>
              <w:rPr>
                <w:lang w:val="en-NZ"/>
              </w:rPr>
            </w:pPr>
            <w:r w:rsidRPr="007720AE">
              <w:t>This version released with ACM Animal Care and Management Training Package Version 3.0.</w:t>
            </w:r>
          </w:p>
        </w:tc>
      </w:tr>
      <w:tr w:rsidTr="00772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AE">
            <w:pPr>
              <w:pStyle w:val="BodyText"/>
              <w:rPr>
                <w:lang w:val="en-NZ"/>
              </w:rPr>
            </w:pPr>
            <w:r w:rsidRPr="007720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AE" w:rsidP="007720AE">
            <w:pPr>
              <w:pStyle w:val="BodyText"/>
            </w:pPr>
            <w:r w:rsidRPr="007720AE">
              <w:t>This version released with ACM Animal Care and Management Training Package Version 1.0.</w:t>
            </w:r>
          </w:p>
        </w:tc>
      </w:tr>
    </w:tbl>
    <w:p w:rsidR="00000000" w:rsidRPr="007720AE" w:rsidP="007720AE">
      <w:pPr>
        <w:pStyle w:val="BodyText"/>
      </w:pPr>
    </w:p>
    <w:p w:rsidR="00000000" w:rsidRPr="007720AE" w:rsidP="007720AE">
      <w:pPr>
        <w:pStyle w:val="AllowPageBreak"/>
      </w:pPr>
    </w:p>
    <w:p w:rsidR="00000000" w:rsidRPr="007720AE" w:rsidP="007720AE">
      <w:pPr>
        <w:pStyle w:val="Heading1"/>
      </w:pPr>
      <w:bookmarkStart w:id="2" w:name="O_1049521"/>
      <w:bookmarkEnd w:id="2"/>
      <w:r w:rsidRPr="007720AE">
        <w:t>Performance Evidence</w:t>
      </w:r>
    </w:p>
    <w:p w:rsidR="00000000" w:rsidRPr="007720AE" w:rsidP="002575A9">
      <w:pPr>
        <w:pStyle w:val="BodyText"/>
      </w:pPr>
      <w:r w:rsidRPr="007720AE">
        <w:t xml:space="preserve">An individual demonstrating competency must satisfy all of the elements and performance criteria in this unit. </w:t>
      </w:r>
    </w:p>
    <w:p w:rsidR="00000000" w:rsidRPr="007720AE" w:rsidP="002575A9">
      <w:pPr>
        <w:pStyle w:val="BodyText"/>
      </w:pPr>
      <w:r w:rsidRPr="007720AE">
        <w:t xml:space="preserve">There must be </w:t>
      </w:r>
      <w:r w:rsidRPr="007720AE">
        <w:t>evidence that the individual has:</w:t>
      </w:r>
    </w:p>
    <w:p w:rsidR="00000000" w:rsidRPr="007720AE" w:rsidP="007720AE">
      <w:pPr>
        <w:pStyle w:val="ListBullet"/>
      </w:pPr>
      <w:r w:rsidRPr="007720AE">
        <w:t>assisted to collect and transfer embryos of mice on at least two occasions, including:</w:t>
      </w:r>
    </w:p>
    <w:p w:rsidR="00000000" w:rsidRPr="007720AE" w:rsidP="007720AE">
      <w:pPr>
        <w:pStyle w:val="ListBullet2"/>
      </w:pPr>
      <w:r w:rsidRPr="007720AE">
        <w:t xml:space="preserve">complied with organisational protocols, policies and procedures, including Animal Ethics Committee </w:t>
      </w:r>
      <w:r w:rsidRPr="007720AE">
        <w:t>(AEC), legislative and health and safety requirements, at all times</w:t>
      </w:r>
    </w:p>
    <w:p w:rsidR="00000000" w:rsidRPr="007720AE" w:rsidP="007720AE">
      <w:pPr>
        <w:pStyle w:val="ListBullet2"/>
      </w:pPr>
      <w:r w:rsidRPr="007720AE">
        <w:t>monitored the health and welfare of animals during and after procedures and provided appropriate care.</w:t>
      </w:r>
    </w:p>
    <w:p w:rsidR="00000000" w:rsidRPr="007720AE" w:rsidP="007720AE">
      <w:pPr>
        <w:pStyle w:val="AllowPageBreak"/>
      </w:pPr>
    </w:p>
    <w:p w:rsidR="00000000" w:rsidRPr="007720AE" w:rsidP="007720AE">
      <w:pPr>
        <w:pStyle w:val="Heading1"/>
      </w:pPr>
      <w:bookmarkStart w:id="3" w:name="O_1049520"/>
      <w:bookmarkEnd w:id="3"/>
      <w:r w:rsidRPr="007720AE">
        <w:t>Knowledge Evidence</w:t>
      </w:r>
    </w:p>
    <w:p w:rsidR="00000000" w:rsidRPr="007720AE" w:rsidP="002575A9">
      <w:pPr>
        <w:pStyle w:val="BodyText"/>
      </w:pPr>
      <w:r w:rsidRPr="007720AE">
        <w:t>An individual must be able to demonstrate the k</w:t>
      </w:r>
      <w:r w:rsidRPr="007720AE">
        <w:t>nowledge required to perform the tasks outlined in the elements and performance criteria of this unit. This includes knowledge of:</w:t>
      </w:r>
    </w:p>
    <w:p w:rsidR="00000000" w:rsidRPr="007720AE" w:rsidP="007720AE">
      <w:pPr>
        <w:pStyle w:val="ListBullet"/>
      </w:pPr>
      <w:r w:rsidRPr="007720AE">
        <w:t>principles and practices for mouse embryo transfer collection, including:</w:t>
      </w:r>
    </w:p>
    <w:p w:rsidR="00000000" w:rsidRPr="007720AE" w:rsidP="007720AE">
      <w:pPr>
        <w:pStyle w:val="ListBullet2"/>
      </w:pPr>
      <w:r w:rsidRPr="007720AE">
        <w:t>anatomical and physiological features of mice rel</w:t>
      </w:r>
      <w:r w:rsidRPr="007720AE">
        <w:t>ated to vasectomy, embryo collection and transfer</w:t>
      </w:r>
    </w:p>
    <w:p w:rsidR="00000000" w:rsidRPr="007720AE" w:rsidP="007720AE">
      <w:pPr>
        <w:pStyle w:val="ListBullet2"/>
      </w:pPr>
      <w:r w:rsidRPr="007720AE">
        <w:t>reproductive cycles relating to mouse embryo technology</w:t>
      </w:r>
    </w:p>
    <w:p w:rsidR="00000000" w:rsidRPr="007720AE" w:rsidP="007720AE">
      <w:pPr>
        <w:pStyle w:val="ListBullet2"/>
      </w:pPr>
      <w:r w:rsidRPr="007720AE">
        <w:t>mouse oogenesis, ovulation, conception and embryonic development</w:t>
      </w:r>
    </w:p>
    <w:p w:rsidR="00000000" w:rsidRPr="007720AE" w:rsidP="007720AE">
      <w:pPr>
        <w:pStyle w:val="ListBullet2"/>
      </w:pPr>
      <w:r w:rsidRPr="007720AE">
        <w:t>constitution, storage and use of proprietary embryo flushing, holding and culture med</w:t>
      </w:r>
      <w:r w:rsidRPr="007720AE">
        <w:t>ia</w:t>
      </w:r>
    </w:p>
    <w:p w:rsidR="00000000" w:rsidRPr="007720AE" w:rsidP="007720AE">
      <w:pPr>
        <w:pStyle w:val="ListBullet2"/>
      </w:pPr>
      <w:r w:rsidRPr="007720AE">
        <w:t>super-ovulation regimens for mice</w:t>
      </w:r>
    </w:p>
    <w:p w:rsidR="00000000" w:rsidRPr="007720AE" w:rsidP="007720AE">
      <w:pPr>
        <w:pStyle w:val="ListBullet2"/>
      </w:pPr>
      <w:r w:rsidRPr="007720AE">
        <w:t>safe mouse handling techniques, including approved handling methods during the administration of substances and surgical procedures</w:t>
      </w:r>
    </w:p>
    <w:p w:rsidR="00000000" w:rsidRPr="007720AE" w:rsidP="007720AE">
      <w:pPr>
        <w:pStyle w:val="ListBullet2"/>
      </w:pPr>
      <w:r w:rsidRPr="007720AE">
        <w:t>euthanasia or humane killing techniques for culling mice for embryo collection or if su</w:t>
      </w:r>
      <w:r w:rsidRPr="007720AE">
        <w:t>ffering during or after surgery</w:t>
      </w:r>
    </w:p>
    <w:p w:rsidR="00000000" w:rsidRPr="007720AE" w:rsidP="007720AE">
      <w:pPr>
        <w:pStyle w:val="ListBullet"/>
      </w:pPr>
      <w:r w:rsidRPr="007720AE">
        <w:t>relevant common diseases, injuries and other impacts on mouse health and wellbeing, and characteristics of healthy, sick or distressed mice</w:t>
      </w:r>
    </w:p>
    <w:p w:rsidR="00000000" w:rsidRPr="007720AE" w:rsidP="007720AE">
      <w:pPr>
        <w:pStyle w:val="ListBullet"/>
      </w:pPr>
      <w:r w:rsidRPr="007720AE">
        <w:t>key requirements of the Australian Code for the Care and Use of Animals for Scientific Purposes relating to the collection and transfer of embryos of mice</w:t>
      </w:r>
    </w:p>
    <w:p w:rsidR="00000000" w:rsidRPr="007720AE" w:rsidP="007720AE">
      <w:pPr>
        <w:pStyle w:val="ListBullet"/>
      </w:pPr>
      <w:r w:rsidRPr="007720AE">
        <w:t>relevant state or territory legislation and regulations relating to:</w:t>
      </w:r>
    </w:p>
    <w:p w:rsidR="00000000" w:rsidRPr="007720AE" w:rsidP="007720AE">
      <w:pPr>
        <w:pStyle w:val="ListBullet2"/>
      </w:pPr>
      <w:r w:rsidRPr="007720AE">
        <w:t>practice of veterinary science</w:t>
      </w:r>
    </w:p>
    <w:p w:rsidR="00000000" w:rsidRPr="007720AE" w:rsidP="007720AE">
      <w:pPr>
        <w:pStyle w:val="ListBullet2"/>
      </w:pPr>
      <w:r w:rsidRPr="007720AE">
        <w:t xml:space="preserve">workplace health and safety </w:t>
      </w:r>
    </w:p>
    <w:p w:rsidR="00000000" w:rsidRPr="007720AE" w:rsidP="007720AE">
      <w:pPr>
        <w:pStyle w:val="ListBullet2"/>
      </w:pPr>
      <w:r w:rsidRPr="007720AE">
        <w:t>animal welfare and research, including the Office of the Gene Technology Regulator and its impact on the work in assisting to collect and transfer embryos of mice</w:t>
      </w:r>
    </w:p>
    <w:p w:rsidR="00000000" w:rsidRPr="007720AE" w:rsidP="007720AE">
      <w:pPr>
        <w:pStyle w:val="ListBullet2"/>
      </w:pPr>
      <w:r w:rsidRPr="007720AE">
        <w:t>use of therapeutic and controlled substances</w:t>
      </w:r>
    </w:p>
    <w:p w:rsidR="00000000" w:rsidRPr="007720AE" w:rsidP="007720AE">
      <w:pPr>
        <w:pStyle w:val="ListBullet"/>
      </w:pPr>
      <w:r w:rsidRPr="007720AE">
        <w:t>organisational pol</w:t>
      </w:r>
      <w:r w:rsidRPr="007720AE">
        <w:t>icies and safe work procedures, including:</w:t>
      </w:r>
    </w:p>
    <w:p w:rsidR="00000000" w:rsidRPr="007720AE" w:rsidP="007720AE">
      <w:pPr>
        <w:pStyle w:val="ListBullet2"/>
      </w:pPr>
      <w:r w:rsidRPr="007720AE">
        <w:t>emergency procedures</w:t>
      </w:r>
    </w:p>
    <w:p w:rsidR="00000000" w:rsidRPr="007720AE" w:rsidP="007720AE">
      <w:pPr>
        <w:pStyle w:val="ListBullet2"/>
      </w:pPr>
      <w:r w:rsidRPr="007720AE">
        <w:t xml:space="preserve">hygiene standards – disinfectants and cleaning agents, techniques, equipment and materials </w:t>
      </w:r>
    </w:p>
    <w:p w:rsidR="00000000" w:rsidRPr="007720AE" w:rsidP="007720AE">
      <w:pPr>
        <w:pStyle w:val="ListBullet2"/>
      </w:pPr>
      <w:r w:rsidRPr="007720AE">
        <w:t xml:space="preserve">infection control protocols </w:t>
      </w:r>
    </w:p>
    <w:p w:rsidR="00000000" w:rsidRPr="007720AE" w:rsidP="007720AE">
      <w:pPr>
        <w:pStyle w:val="ListBullet"/>
      </w:pPr>
      <w:r w:rsidRPr="007720AE">
        <w:t>relevant laboratory techniques and procedures, including:</w:t>
      </w:r>
    </w:p>
    <w:p w:rsidR="00000000" w:rsidRPr="007720AE" w:rsidP="007720AE">
      <w:pPr>
        <w:pStyle w:val="ListBullet2"/>
      </w:pPr>
      <w:r w:rsidRPr="007720AE">
        <w:t>methods us</w:t>
      </w:r>
      <w:r w:rsidRPr="007720AE">
        <w:t>ed to collect, store and manipulate embryos from mice for re-derivation purposes</w:t>
      </w:r>
    </w:p>
    <w:p w:rsidR="00000000" w:rsidRPr="007720AE" w:rsidP="007720AE">
      <w:pPr>
        <w:pStyle w:val="ListBullet2"/>
      </w:pPr>
      <w:r w:rsidRPr="007720AE">
        <w:t xml:space="preserve">methods used to perform embryo transfer procedures in mice </w:t>
      </w:r>
    </w:p>
    <w:p w:rsidR="00000000" w:rsidRPr="007720AE" w:rsidP="007720AE">
      <w:pPr>
        <w:pStyle w:val="ListBullet2"/>
      </w:pPr>
      <w:r w:rsidRPr="007720AE">
        <w:t>surgery relevant to vasectomy, embryo collection and transfer</w:t>
      </w:r>
    </w:p>
    <w:p w:rsidR="00000000" w:rsidRPr="007720AE" w:rsidP="007720AE">
      <w:pPr>
        <w:pStyle w:val="ListBullet2"/>
      </w:pPr>
      <w:r w:rsidRPr="007720AE">
        <w:t>cryo preservation and recovery</w:t>
      </w:r>
    </w:p>
    <w:p w:rsidR="00000000" w:rsidRPr="007720AE" w:rsidP="007720AE">
      <w:pPr>
        <w:pStyle w:val="ListBullet2"/>
      </w:pPr>
      <w:r w:rsidRPr="007720AE">
        <w:t>aseptic techniques</w:t>
      </w:r>
    </w:p>
    <w:p w:rsidR="00000000" w:rsidRPr="007720AE" w:rsidP="007720AE">
      <w:pPr>
        <w:pStyle w:val="ListBullet2"/>
      </w:pPr>
      <w:r w:rsidRPr="007720AE">
        <w:t>relevant anaesthetics, analgesics and other medications used, and methods of administration for mouse surgery</w:t>
      </w:r>
    </w:p>
    <w:p w:rsidR="00000000" w:rsidRPr="007720AE" w:rsidP="007720AE">
      <w:pPr>
        <w:pStyle w:val="ListBullet"/>
      </w:pPr>
      <w:r w:rsidRPr="007720AE">
        <w:t>applicable industry quality assurance requirements and required documentation</w:t>
      </w:r>
    </w:p>
    <w:p w:rsidR="00000000" w:rsidRPr="007720AE" w:rsidP="007720AE">
      <w:pPr>
        <w:pStyle w:val="ListBullet"/>
      </w:pPr>
      <w:r w:rsidRPr="007720AE">
        <w:t>biosecurity issues relating to the collection of samples from anima</w:t>
      </w:r>
      <w:r w:rsidRPr="007720AE">
        <w:t>ls</w:t>
      </w:r>
    </w:p>
    <w:p w:rsidR="00000000" w:rsidRPr="007720AE" w:rsidP="007720AE">
      <w:pPr>
        <w:pStyle w:val="ListBullet"/>
      </w:pPr>
      <w:r w:rsidRPr="007720AE">
        <w:t>relevant principles of animal welfare and ethics, including the 3Rs (replacement, reduction and refinement) and the 5 Domains.</w:t>
      </w:r>
    </w:p>
    <w:p w:rsidR="00000000" w:rsidRPr="007720AE" w:rsidP="007720AE">
      <w:pPr>
        <w:pStyle w:val="AllowPageBreak"/>
      </w:pPr>
    </w:p>
    <w:p w:rsidR="00000000" w:rsidRPr="007720AE" w:rsidP="007720AE">
      <w:pPr>
        <w:pStyle w:val="Heading1"/>
      </w:pPr>
      <w:bookmarkStart w:id="4" w:name="O_1049519"/>
      <w:bookmarkEnd w:id="4"/>
      <w:r w:rsidRPr="007720AE">
        <w:t>Assessment Conditions</w:t>
      </w:r>
    </w:p>
    <w:p w:rsidR="00000000" w:rsidRPr="007720AE" w:rsidP="002575A9">
      <w:pPr>
        <w:pStyle w:val="BodyText"/>
      </w:pPr>
      <w:r w:rsidRPr="007720AE">
        <w:t xml:space="preserve">Assessment of skills must take place under the following conditions: </w:t>
      </w:r>
    </w:p>
    <w:p w:rsidR="00000000" w:rsidRPr="007720AE" w:rsidP="007720AE">
      <w:pPr>
        <w:pStyle w:val="ListBullet"/>
      </w:pPr>
      <w:r w:rsidRPr="007720AE">
        <w:t>physical condi</w:t>
      </w:r>
      <w:r w:rsidRPr="007720AE">
        <w:t>tions:</w:t>
      </w:r>
    </w:p>
    <w:p w:rsidR="00000000" w:rsidRPr="007720AE" w:rsidP="007720AE">
      <w:pPr>
        <w:pStyle w:val="ListBullet2"/>
      </w:pPr>
      <w:r w:rsidRPr="007720AE">
        <w:t>an animal research or production facility, or an environment that accurately represents workplace conditions that has a scientific establishment licence and access to an approved AEC</w:t>
      </w:r>
    </w:p>
    <w:p w:rsidR="00000000" w:rsidRPr="007720AE" w:rsidP="007720AE">
      <w:pPr>
        <w:pStyle w:val="ListBullet"/>
      </w:pPr>
      <w:r w:rsidRPr="007720AE">
        <w:t>resources, equipment and materials:</w:t>
      </w:r>
    </w:p>
    <w:p w:rsidR="00000000" w:rsidRPr="007720AE" w:rsidP="007720AE">
      <w:pPr>
        <w:pStyle w:val="ListBullet2"/>
      </w:pPr>
      <w:r w:rsidRPr="007720AE">
        <w:t>mice used in research.</w:t>
      </w:r>
    </w:p>
    <w:p w:rsidR="00000000" w:rsidRPr="007720AE" w:rsidP="002575A9">
      <w:pPr>
        <w:pStyle w:val="BodyText"/>
      </w:pPr>
      <w:r w:rsidRPr="007720AE">
        <w:t>Asse</w:t>
      </w:r>
      <w:r w:rsidRPr="007720AE">
        <w:t>ssors of this unit must satisfy the requirements for assessors in applicable vocational education and training legislation, frameworks and/or standards.</w:t>
      </w:r>
    </w:p>
    <w:p w:rsidR="00000000" w:rsidRPr="007720AE" w:rsidP="007720AE">
      <w:pPr>
        <w:pStyle w:val="Heading1"/>
      </w:pPr>
      <w:bookmarkStart w:id="5" w:name="O_1049532"/>
      <w:bookmarkEnd w:id="5"/>
      <w:r w:rsidRPr="007720AE">
        <w:t>Links</w:t>
      </w:r>
    </w:p>
    <w:p w:rsidR="00000000" w:rsidRPr="007720AE" w:rsidP="002575A9">
      <w:pPr>
        <w:pStyle w:val="BodyText"/>
      </w:pPr>
      <w:r w:rsidRPr="007720AE">
        <w:t>Compani</w:t>
      </w:r>
      <w:r w:rsidRPr="007720AE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85C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720AE" w:rsidP="007720AE"/>
    <w:sectPr w:rsidSect="00772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AE" w:rsidRPr="002575A9" w:rsidP="002575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A9" w:rsidP="00772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75A9" w:rsidP="00772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75A9" w:rsidP="00772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0AE" w:rsidRPr="002575A9" w:rsidP="002575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A9" w:rsidRPr="002D2AF8" w:rsidP="00772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ACMATE506 Assist to collect and transfer embryos of mice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575A9" w:rsidP="00772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70D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8AD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022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0AE"/>
  </w:style>
  <w:style w:type="character" w:customStyle="1" w:styleId="Heading1Char">
    <w:name w:val="Heading 1 Char"/>
    <w:basedOn w:val="DefaultParagraphFont"/>
    <w:link w:val="Heading1"/>
    <w:rsid w:val="00772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0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20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2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20AE"/>
    <w:rPr>
      <w:b/>
    </w:rPr>
  </w:style>
  <w:style w:type="character" w:customStyle="1" w:styleId="Heading2Char">
    <w:name w:val="Heading 2 Char"/>
    <w:basedOn w:val="DefaultParagraphFont"/>
    <w:link w:val="Heading2"/>
    <w:rsid w:val="00772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0AE"/>
    <w:rPr>
      <w:b/>
      <w:spacing w:val="0"/>
    </w:rPr>
  </w:style>
  <w:style w:type="paragraph" w:customStyle="1" w:styleId="SuperTitle">
    <w:name w:val="SuperTitle"/>
    <w:basedOn w:val="Title"/>
    <w:rsid w:val="00772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0AE"/>
    <w:rPr>
      <w:i/>
    </w:rPr>
  </w:style>
  <w:style w:type="paragraph" w:styleId="Caption">
    <w:name w:val="caption"/>
    <w:basedOn w:val="BodyText"/>
    <w:next w:val="Normal"/>
    <w:qFormat/>
    <w:rsid w:val="00772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0AE"/>
  </w:style>
  <w:style w:type="paragraph" w:styleId="TableofFigures">
    <w:name w:val="table of figures"/>
    <w:basedOn w:val="Normal"/>
    <w:next w:val="Normal"/>
    <w:semiHidden/>
    <w:rsid w:val="00772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0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20AE"/>
    <w:rPr>
      <w:rFonts w:ascii="Wingdings" w:hAnsi="Wingdings"/>
    </w:rPr>
  </w:style>
  <w:style w:type="paragraph" w:customStyle="1" w:styleId="TableHeading">
    <w:name w:val="Table Heading"/>
    <w:basedOn w:val="HeadingBase"/>
    <w:rsid w:val="00772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0AE"/>
    <w:rPr>
      <w:color w:val="0033CC"/>
      <w:u w:val="none"/>
    </w:rPr>
  </w:style>
  <w:style w:type="paragraph" w:customStyle="1" w:styleId="BodyTextRight">
    <w:name w:val="Body Text Right"/>
    <w:basedOn w:val="BodyText"/>
    <w:rsid w:val="00772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0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0AE"/>
    <w:rPr>
      <w:sz w:val="32"/>
    </w:rPr>
  </w:style>
  <w:style w:type="paragraph" w:customStyle="1" w:styleId="HeadingProcedure">
    <w:name w:val="Heading Procedure"/>
    <w:basedOn w:val="HeadingBase"/>
    <w:next w:val="Normal"/>
    <w:rsid w:val="00772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0AE"/>
    <w:pPr>
      <w:spacing w:before="60" w:after="60"/>
    </w:pPr>
  </w:style>
  <w:style w:type="paragraph" w:styleId="ListContinue">
    <w:name w:val="List Continue"/>
    <w:basedOn w:val="List"/>
    <w:rsid w:val="007720AE"/>
    <w:pPr>
      <w:ind w:firstLine="0"/>
    </w:pPr>
  </w:style>
  <w:style w:type="paragraph" w:customStyle="1" w:styleId="ListNote">
    <w:name w:val="List Note"/>
    <w:basedOn w:val="List"/>
    <w:rsid w:val="00772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0AE"/>
    <w:rPr>
      <w:rFonts w:ascii="Courier New" w:hAnsi="Courier New"/>
    </w:rPr>
  </w:style>
  <w:style w:type="paragraph" w:customStyle="1" w:styleId="NoteBullet">
    <w:name w:val="Note Bullet"/>
    <w:basedOn w:val="Note"/>
    <w:rsid w:val="00772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0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0AE"/>
    <w:rPr>
      <w:b/>
      <w:smallCaps/>
    </w:rPr>
  </w:style>
  <w:style w:type="paragraph" w:customStyle="1" w:styleId="TableListNumber">
    <w:name w:val="Table List Number"/>
    <w:basedOn w:val="ListNumber"/>
    <w:rsid w:val="00772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0AE"/>
    <w:pPr>
      <w:numPr>
        <w:numId w:val="9"/>
      </w:numPr>
    </w:pPr>
  </w:style>
  <w:style w:type="paragraph" w:customStyle="1" w:styleId="ListAlpha2">
    <w:name w:val="List Alpha 2"/>
    <w:basedOn w:val="List2"/>
    <w:rsid w:val="007720AE"/>
    <w:pPr>
      <w:numPr>
        <w:numId w:val="8"/>
      </w:numPr>
    </w:pPr>
  </w:style>
  <w:style w:type="paragraph" w:styleId="List2">
    <w:name w:val="List 2"/>
    <w:basedOn w:val="BodyText"/>
    <w:rsid w:val="00772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0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0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20AE"/>
    <w:pPr>
      <w:numPr>
        <w:numId w:val="4"/>
      </w:numPr>
    </w:pPr>
  </w:style>
  <w:style w:type="paragraph" w:styleId="ListContinue2">
    <w:name w:val="List Continue 2"/>
    <w:basedOn w:val="List2"/>
    <w:rsid w:val="007720AE"/>
    <w:pPr>
      <w:ind w:firstLine="0"/>
    </w:pPr>
  </w:style>
  <w:style w:type="paragraph" w:styleId="ListContinue3">
    <w:name w:val="List Continue 3"/>
    <w:basedOn w:val="List3"/>
    <w:rsid w:val="007720AE"/>
    <w:pPr>
      <w:ind w:left="1021" w:firstLine="0"/>
    </w:pPr>
  </w:style>
  <w:style w:type="paragraph" w:styleId="ListContinue4">
    <w:name w:val="List Continue 4"/>
    <w:basedOn w:val="List4"/>
    <w:rsid w:val="007720AE"/>
    <w:pPr>
      <w:ind w:firstLine="0"/>
    </w:pPr>
  </w:style>
  <w:style w:type="paragraph" w:styleId="ListContinue5">
    <w:name w:val="List Continue 5"/>
    <w:basedOn w:val="List5"/>
    <w:rsid w:val="007720AE"/>
    <w:pPr>
      <w:ind w:firstLine="0"/>
    </w:pPr>
  </w:style>
  <w:style w:type="paragraph" w:styleId="ListNumber3">
    <w:name w:val="List Number 3"/>
    <w:basedOn w:val="List3"/>
    <w:rsid w:val="007720AE"/>
    <w:pPr>
      <w:numPr>
        <w:numId w:val="5"/>
      </w:numPr>
    </w:pPr>
  </w:style>
  <w:style w:type="paragraph" w:styleId="ListNumber4">
    <w:name w:val="List Number 4"/>
    <w:basedOn w:val="List4"/>
    <w:rsid w:val="007720AE"/>
    <w:pPr>
      <w:numPr>
        <w:numId w:val="6"/>
      </w:numPr>
    </w:pPr>
  </w:style>
  <w:style w:type="paragraph" w:styleId="ListNumber5">
    <w:name w:val="List Number 5"/>
    <w:basedOn w:val="List5"/>
    <w:rsid w:val="007720AE"/>
    <w:pPr>
      <w:numPr>
        <w:numId w:val="7"/>
      </w:numPr>
    </w:pPr>
  </w:style>
  <w:style w:type="paragraph" w:styleId="BlockText">
    <w:name w:val="Block Text"/>
    <w:basedOn w:val="Normal"/>
    <w:rsid w:val="00772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0AE"/>
    <w:rPr>
      <w:sz w:val="16"/>
      <w:vertAlign w:val="superscript"/>
    </w:rPr>
  </w:style>
  <w:style w:type="character" w:customStyle="1" w:styleId="Symbols">
    <w:name w:val="Symbols"/>
    <w:basedOn w:val="DefaultParagraphFont"/>
    <w:rsid w:val="007720AE"/>
    <w:rPr>
      <w:rFonts w:ascii="Symbol" w:hAnsi="Symbol"/>
    </w:rPr>
  </w:style>
  <w:style w:type="character" w:customStyle="1" w:styleId="MenuOptions">
    <w:name w:val="Menu Options"/>
    <w:basedOn w:val="DefaultParagraphFont"/>
    <w:rsid w:val="00772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0AE"/>
    <w:rPr>
      <w:b/>
    </w:rPr>
  </w:style>
  <w:style w:type="character" w:customStyle="1" w:styleId="Underlined">
    <w:name w:val="Underlined"/>
    <w:basedOn w:val="DefaultParagraphFont"/>
    <w:rsid w:val="007720AE"/>
    <w:rPr>
      <w:u w:val="single"/>
    </w:rPr>
  </w:style>
  <w:style w:type="paragraph" w:customStyle="1" w:styleId="TableBodyTextRight">
    <w:name w:val="Table Body Text Right"/>
    <w:basedOn w:val="TableBodyText"/>
    <w:rsid w:val="00772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0AE"/>
    <w:rPr>
      <w:sz w:val="18"/>
    </w:rPr>
  </w:style>
  <w:style w:type="paragraph" w:customStyle="1" w:styleId="BodySmallRight">
    <w:name w:val="Body Small Right"/>
    <w:basedOn w:val="BodyTextRight"/>
    <w:rsid w:val="007720AE"/>
    <w:rPr>
      <w:sz w:val="18"/>
      <w:szCs w:val="18"/>
    </w:rPr>
  </w:style>
  <w:style w:type="paragraph" w:customStyle="1" w:styleId="MarginEdition">
    <w:name w:val="Margin Edition"/>
    <w:basedOn w:val="MarginNote"/>
    <w:rsid w:val="00772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0AE"/>
    <w:rPr>
      <w:sz w:val="2"/>
      <w:szCs w:val="2"/>
    </w:rPr>
  </w:style>
  <w:style w:type="character" w:customStyle="1" w:styleId="Small">
    <w:name w:val="Small"/>
    <w:basedOn w:val="DefaultParagraphFont"/>
    <w:rsid w:val="007720AE"/>
    <w:rPr>
      <w:sz w:val="16"/>
    </w:rPr>
  </w:style>
  <w:style w:type="paragraph" w:customStyle="1" w:styleId="WideTable">
    <w:name w:val="Wide Table"/>
    <w:basedOn w:val="Normal"/>
    <w:rsid w:val="00772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0AE"/>
  </w:style>
  <w:style w:type="paragraph" w:styleId="Quote">
    <w:name w:val="Quote"/>
    <w:basedOn w:val="Heading1"/>
    <w:link w:val="QuoteChar"/>
    <w:qFormat/>
    <w:rsid w:val="00772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0AE"/>
    <w:pPr>
      <w:pageBreakBefore/>
    </w:pPr>
  </w:style>
  <w:style w:type="paragraph" w:customStyle="1" w:styleId="Border">
    <w:name w:val="Border"/>
    <w:basedOn w:val="Normal"/>
    <w:qFormat/>
    <w:rsid w:val="00772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0AE"/>
    <w:rPr>
      <w:u w:val="single"/>
    </w:rPr>
  </w:style>
  <w:style w:type="character" w:customStyle="1" w:styleId="BoldandItalics">
    <w:name w:val="Bold and Italics"/>
    <w:qFormat/>
    <w:rsid w:val="007720AE"/>
    <w:rPr>
      <w:b/>
      <w:i/>
      <w:u w:val="none"/>
    </w:rPr>
  </w:style>
  <w:style w:type="paragraph" w:styleId="BalloonText">
    <w:name w:val="Balloon Text"/>
    <w:basedOn w:val="Normal"/>
    <w:link w:val="BalloonTextChar"/>
    <w:rsid w:val="00772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0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75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3656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ACMATE506 Assist to collect and transfer embryos of mice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