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04C" w:rsidP="0004604C">
      <w:pPr>
        <w:pStyle w:val="Title"/>
      </w:pPr>
      <w:r>
        <w:fldChar w:fldCharType="begin"/>
      </w:r>
      <w:r>
        <w:instrText xml:space="preserve"> TITLE   \* MERGEFORMAT </w:instrText>
      </w:r>
      <w:r>
        <w:fldChar w:fldCharType="separate"/>
      </w:r>
      <w:r>
        <w:t>ACMATE503 Carry out post-mortem examination of a research animal</w:t>
      </w:r>
      <w:r>
        <w:fldChar w:fldCharType="end"/>
      </w:r>
    </w:p>
    <w:p w:rsidR="0004604C" w:rsidP="0004604C">
      <w:pPr>
        <w:pStyle w:val="Version"/>
        <w:sectPr w:rsidSect="00197E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ECC" w:rsidP="00197ECC">
      <w:pPr>
        <w:pStyle w:val="SuperHeading"/>
      </w:pPr>
      <w:r w:rsidRPr="00197ECC">
        <w:t>ACMATE503 Carry out post-mortem examination of a research animal</w:t>
      </w:r>
    </w:p>
    <w:p w:rsidR="00000000" w:rsidRPr="00197ECC" w:rsidP="00197ECC">
      <w:pPr>
        <w:pStyle w:val="Heading1"/>
      </w:pPr>
      <w:bookmarkStart w:id="1" w:name="O_855963"/>
      <w:bookmarkEnd w:id="1"/>
      <w:r w:rsidRPr="00197ECC">
        <w:t>Modification History</w:t>
      </w:r>
    </w:p>
    <w:tbl>
      <w:tblPr>
        <w:tblW w:w="9639" w:type="dxa"/>
        <w:tblLayout w:type="fixed"/>
        <w:tblCellMar>
          <w:left w:w="62" w:type="dxa"/>
          <w:right w:w="62" w:type="dxa"/>
        </w:tblCellMar>
        <w:tblLook w:val="0000"/>
      </w:tblPr>
      <w:tblGrid>
        <w:gridCol w:w="2268"/>
        <w:gridCol w:w="7371"/>
      </w:tblGrid>
      <w:tr w:rsidTr="00197ECC">
        <w:tblPrEx>
          <w:tblW w:w="9639" w:type="dxa"/>
          <w:tblLayout w:type="fixed"/>
          <w:tblCellMar>
            <w:left w:w="62" w:type="dxa"/>
            <w:right w:w="62" w:type="dxa"/>
          </w:tblCellMar>
          <w:tblLook w:val="0000"/>
        </w:tblPrEx>
        <w:tc>
          <w:tcPr>
            <w:tcW w:w="22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97ECC" w:rsidP="00197ECC">
            <w:pPr>
              <w:pStyle w:val="BodyText"/>
            </w:pPr>
            <w:r w:rsidRPr="00197ECC">
              <w:rPr>
                <w:rStyle w:val="SpecialBold"/>
              </w:rPr>
              <w:t>Release</w:t>
            </w:r>
          </w:p>
        </w:tc>
        <w:tc>
          <w:tcPr>
            <w:tcW w:w="737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97ECC">
            <w:pPr>
              <w:pStyle w:val="BodyText"/>
              <w:rPr>
                <w:lang w:val="en-NZ"/>
              </w:rPr>
            </w:pPr>
            <w:r w:rsidRPr="00197ECC">
              <w:rPr>
                <w:rStyle w:val="SpecialBold"/>
              </w:rPr>
              <w:t>Comments</w:t>
            </w:r>
          </w:p>
        </w:tc>
      </w:tr>
      <w:tr w:rsidTr="00197ECC">
        <w:tblPrEx>
          <w:tblW w:w="9639" w:type="dxa"/>
          <w:tblLayout w:type="fixed"/>
          <w:tblCellMar>
            <w:left w:w="62" w:type="dxa"/>
            <w:right w:w="62" w:type="dxa"/>
          </w:tblCellMar>
          <w:tblLook w:val="0000"/>
        </w:tblPrEx>
        <w:tc>
          <w:tcPr>
            <w:tcW w:w="2268"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97ECC">
            <w:pPr>
              <w:pStyle w:val="BodyText"/>
              <w:rPr>
                <w:lang w:val="en-NZ"/>
              </w:rPr>
            </w:pPr>
            <w:r w:rsidRPr="00197ECC">
              <w:t>Release 1</w:t>
            </w:r>
          </w:p>
        </w:tc>
        <w:tc>
          <w:tcPr>
            <w:tcW w:w="7371" w:type="dxa"/>
            <w:tcBorders>
              <w:top w:val="nil"/>
              <w:left w:val="nil"/>
              <w:bottom w:val="single" w:sz="8" w:space="0" w:color="auto"/>
              <w:right w:val="single" w:sz="8" w:space="0" w:color="auto"/>
            </w:tcBorders>
            <w:tcMar>
              <w:top w:w="0" w:type="dxa"/>
              <w:left w:w="62" w:type="dxa"/>
              <w:bottom w:w="0" w:type="dxa"/>
              <w:right w:w="62" w:type="dxa"/>
            </w:tcMar>
          </w:tcPr>
          <w:p w:rsidR="00000000" w:rsidRPr="00197ECC" w:rsidP="00197ECC">
            <w:pPr>
              <w:pStyle w:val="BodyText"/>
            </w:pPr>
            <w:r w:rsidRPr="00197ECC">
              <w:t>This version released with ACM Animal Care and Management Training Package Version 1.0.</w:t>
            </w:r>
          </w:p>
        </w:tc>
      </w:tr>
    </w:tbl>
    <w:p w:rsidR="00000000" w:rsidRPr="00197ECC" w:rsidP="00197ECC">
      <w:pPr>
        <w:pStyle w:val="BodyText"/>
      </w:pPr>
    </w:p>
    <w:p w:rsidR="00000000" w:rsidRPr="00197ECC" w:rsidP="00197ECC">
      <w:pPr>
        <w:pStyle w:val="AllowPageBreak"/>
      </w:pPr>
    </w:p>
    <w:p w:rsidR="00000000" w:rsidRPr="00197ECC" w:rsidP="00197ECC">
      <w:pPr>
        <w:pStyle w:val="Heading1"/>
      </w:pPr>
      <w:bookmarkStart w:id="2" w:name="O_855964"/>
      <w:bookmarkEnd w:id="2"/>
      <w:r w:rsidRPr="00197ECC">
        <w:t>Application</w:t>
      </w:r>
    </w:p>
    <w:p w:rsidR="00000000" w:rsidRPr="00197ECC" w:rsidP="0004604C">
      <w:pPr>
        <w:pStyle w:val="BodyText"/>
      </w:pPr>
      <w:r w:rsidRPr="00197ECC">
        <w:t>This unit describes the skills and knowledge required to conduct a post-mortem examination of a research animal for scientific purposes.</w:t>
      </w:r>
    </w:p>
    <w:p w:rsidR="00000000" w:rsidRPr="00197ECC" w:rsidP="0004604C">
      <w:pPr>
        <w:pStyle w:val="BodyText"/>
      </w:pPr>
      <w:r w:rsidRPr="00197ECC">
        <w:t>This unit applies to individuals who are required to work with and care for animals used within scientific establishments for scientific purposes and teaching. All work practices must be undertaken in accordance with the Australian Code of Practice for the</w:t>
      </w:r>
      <w:r w:rsidRPr="00197ECC">
        <w:t xml:space="preserve"> Care and Use of Animals for Scientific Purposes and the institution</w:t>
      </w:r>
      <w:r>
        <w:t>’</w:t>
      </w:r>
      <w:r w:rsidRPr="00197ECC">
        <w:t>s standard operating procedures. It requires the ability to liaise with and report to the institution</w:t>
      </w:r>
      <w:r>
        <w:t>’</w:t>
      </w:r>
      <w:r w:rsidRPr="00197ECC">
        <w:t xml:space="preserve">s Animal Ethics Committee according to institutional requirements. </w:t>
      </w:r>
    </w:p>
    <w:p w:rsidR="00000000" w:rsidRPr="00197ECC" w:rsidP="0004604C">
      <w:pPr>
        <w:pStyle w:val="BodyText"/>
      </w:pPr>
      <w:r w:rsidRPr="00197ECC">
        <w:t xml:space="preserve">No occupational </w:t>
      </w:r>
      <w:r w:rsidRPr="00197ECC">
        <w:t>licensing, legislative or certification requirements apply to this unit at the time of publication.</w:t>
      </w:r>
    </w:p>
    <w:p w:rsidR="00000000" w:rsidRPr="00197ECC" w:rsidP="0004604C">
      <w:pPr>
        <w:pStyle w:val="BodyText"/>
      </w:pPr>
      <w:r w:rsidRPr="00197ECC">
        <w:t xml:space="preserve">NOTE: The terms </w:t>
      </w:r>
      <w:r>
        <w:t>‘</w:t>
      </w:r>
      <w:r w:rsidRPr="00197ECC">
        <w:t>occupational health and safety</w:t>
      </w:r>
      <w:r>
        <w:t>’</w:t>
      </w:r>
      <w:r w:rsidRPr="00197ECC">
        <w:t xml:space="preserve"> (OHS) and </w:t>
      </w:r>
      <w:r>
        <w:t>‘</w:t>
      </w:r>
      <w:r w:rsidRPr="00197ECC">
        <w:t>work health and safety</w:t>
      </w:r>
      <w:r>
        <w:t>’</w:t>
      </w:r>
      <w:r w:rsidRPr="00197ECC">
        <w:t xml:space="preserve"> (WHS) generally have the same meaning in the workplace. In jurisdiction</w:t>
      </w:r>
      <w:r w:rsidRPr="00197ECC">
        <w:t>s where the national model WHS legislation has not been implemented, RTOs must contextualise the unit of competency by referring to current OHS legislative requirements.</w:t>
      </w:r>
    </w:p>
    <w:p w:rsidR="00000000" w:rsidRPr="00197ECC" w:rsidP="00197ECC">
      <w:pPr>
        <w:pStyle w:val="Heading1"/>
      </w:pPr>
      <w:bookmarkStart w:id="3" w:name="O_855965"/>
      <w:bookmarkEnd w:id="3"/>
      <w:r w:rsidRPr="00197ECC">
        <w:t>Pre-requisite Unit</w:t>
      </w:r>
    </w:p>
    <w:p w:rsidR="00000000" w:rsidRPr="00197ECC" w:rsidP="0004604C">
      <w:pPr>
        <w:pStyle w:val="BodyText"/>
      </w:pPr>
      <w:r w:rsidRPr="00197ECC">
        <w:t>Nil</w:t>
      </w:r>
    </w:p>
    <w:p w:rsidR="00000000" w:rsidRPr="00197ECC" w:rsidP="00197ECC">
      <w:pPr>
        <w:pStyle w:val="Heading1"/>
      </w:pPr>
      <w:bookmarkStart w:id="4" w:name="O_855967"/>
      <w:bookmarkEnd w:id="4"/>
      <w:r w:rsidRPr="00197ECC">
        <w:t>Unit Sector</w:t>
      </w:r>
    </w:p>
    <w:p w:rsidR="00000000" w:rsidRPr="00197ECC" w:rsidP="0004604C">
      <w:pPr>
        <w:pStyle w:val="BodyText"/>
      </w:pPr>
      <w:r w:rsidRPr="00197ECC">
        <w:t>Animal Technology</w:t>
      </w:r>
      <w:r w:rsidRPr="00197ECC">
        <w:t xml:space="preserve"> (ATE)</w:t>
      </w:r>
    </w:p>
    <w:p w:rsidR="00000000" w:rsidRPr="00197ECC" w:rsidP="00197ECC">
      <w:pPr>
        <w:pStyle w:val="Heading1"/>
      </w:pPr>
      <w:bookmarkStart w:id="5" w:name="O_855968"/>
      <w:bookmarkEnd w:id="5"/>
      <w:r w:rsidRPr="00197ECC">
        <w:t>Elements and Performance Criteria</w:t>
      </w:r>
    </w:p>
    <w:tbl>
      <w:tblPr>
        <w:tblW w:w="9639" w:type="dxa"/>
        <w:tblLayout w:type="fixed"/>
        <w:tblCellMar>
          <w:left w:w="62" w:type="dxa"/>
          <w:right w:w="62" w:type="dxa"/>
        </w:tblCellMar>
        <w:tblLook w:val="0000"/>
      </w:tblPr>
      <w:tblGrid>
        <w:gridCol w:w="2693"/>
        <w:gridCol w:w="6946"/>
      </w:tblGrid>
      <w:tr w:rsidTr="0004604C">
        <w:tblPrEx>
          <w:tblW w:w="9639" w:type="dxa"/>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7ECC" w:rsidP="00197ECC">
            <w:pPr>
              <w:pStyle w:val="BodyText"/>
            </w:pPr>
            <w:r w:rsidRPr="00197ECC">
              <w:rPr>
                <w:rStyle w:val="SpecialBold"/>
              </w:rPr>
              <w:t>Elements</w:t>
            </w:r>
          </w:p>
        </w:tc>
        <w:tc>
          <w:tcPr>
            <w:tcW w:w="694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7ECC">
            <w:pPr>
              <w:pStyle w:val="BodyText"/>
              <w:rPr>
                <w:lang w:val="en-NZ"/>
              </w:rPr>
            </w:pPr>
            <w:r w:rsidRPr="00197ECC">
              <w:rPr>
                <w:rStyle w:val="SpecialBold"/>
              </w:rPr>
              <w:t>Performance Criteria</w:t>
            </w:r>
          </w:p>
        </w:tc>
      </w:tr>
      <w:tr w:rsidTr="0004604C">
        <w:tblPrEx>
          <w:tblW w:w="9639" w:type="dxa"/>
          <w:tblLayout w:type="fixed"/>
          <w:tblCellMar>
            <w:left w:w="62" w:type="dxa"/>
            <w:right w:w="62" w:type="dxa"/>
          </w:tblCellMar>
          <w:tblLook w:val="0000"/>
        </w:tblPrEx>
        <w:tc>
          <w:tcPr>
            <w:tcW w:w="26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7ECC" w:rsidP="00197ECC">
            <w:pPr>
              <w:pStyle w:val="BodyText"/>
            </w:pPr>
            <w:r w:rsidRPr="00197ECC">
              <w:rPr>
                <w:rStyle w:val="Emphasis"/>
              </w:rPr>
              <w:t>Elements describe the essential outcomes.</w:t>
            </w:r>
          </w:p>
        </w:tc>
        <w:tc>
          <w:tcPr>
            <w:tcW w:w="694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7ECC">
            <w:pPr>
              <w:pStyle w:val="BodyText"/>
              <w:rPr>
                <w:lang w:val="en-NZ"/>
              </w:rPr>
            </w:pPr>
            <w:r w:rsidRPr="00197ECC">
              <w:rPr>
                <w:rStyle w:val="Emphasis"/>
              </w:rPr>
              <w:t>Performance criteria describe the performance needed to demonstrate achievement of the element.</w:t>
            </w:r>
          </w:p>
        </w:tc>
      </w:tr>
      <w:tr w:rsidTr="0004604C">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CC">
            <w:pPr>
              <w:pStyle w:val="BodyText"/>
              <w:rPr>
                <w:lang w:val="en-NZ"/>
              </w:rPr>
            </w:pPr>
            <w:r w:rsidRPr="00197ECC">
              <w:t>1. Prepare to conduct the post-mortem examination</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CC" w:rsidP="00197ECC">
            <w:pPr>
              <w:pStyle w:val="BodyText"/>
            </w:pPr>
            <w:r w:rsidRPr="00197ECC">
              <w:t>1.1 Select and prepare the site for the post-mortem</w:t>
            </w:r>
          </w:p>
          <w:p w:rsidR="00000000" w:rsidRPr="00197ECC" w:rsidP="00197ECC">
            <w:pPr>
              <w:pStyle w:val="BodyText"/>
            </w:pPr>
            <w:r w:rsidRPr="00197ECC">
              <w:t>1.2 Identify containment issues and take appropriate action</w:t>
            </w:r>
          </w:p>
          <w:p w:rsidR="00000000" w:rsidRPr="00197ECC" w:rsidP="00197ECC">
            <w:pPr>
              <w:pStyle w:val="BodyText"/>
            </w:pPr>
            <w:r w:rsidRPr="00197ECC">
              <w:t>1.3 Obtain and prepare correct clothing, equipment and resources to be used in the post-mortem</w:t>
            </w:r>
            <w:r w:rsidRPr="00197ECC">
              <w:t xml:space="preserve"> examination</w:t>
            </w:r>
          </w:p>
          <w:p w:rsidR="00000000" w:rsidRPr="00197ECC" w:rsidP="00197ECC">
            <w:pPr>
              <w:pStyle w:val="BodyText"/>
            </w:pPr>
            <w:r w:rsidRPr="00197ECC">
              <w:t xml:space="preserve">1.4 Use appropriate manual lifting techniques to move the animal to be examined to the post-mortem area </w:t>
            </w:r>
          </w:p>
          <w:p w:rsidR="00000000" w:rsidRPr="00197ECC" w:rsidP="00197ECC">
            <w:pPr>
              <w:pStyle w:val="BodyText"/>
            </w:pPr>
            <w:r w:rsidRPr="00197ECC">
              <w:t>1.5 Confirm death of the animal by checking for the absence of any vital signs</w:t>
            </w:r>
          </w:p>
          <w:p w:rsidR="00000000" w:rsidRPr="00197ECC" w:rsidP="00197ECC">
            <w:pPr>
              <w:pStyle w:val="BodyText"/>
            </w:pPr>
            <w:r w:rsidRPr="00197ECC">
              <w:t>1.6 Obtain and collate all relevant preliminary information</w:t>
            </w:r>
            <w:r w:rsidRPr="00197ECC">
              <w:t xml:space="preserve"> about the animal to be examined</w:t>
            </w:r>
          </w:p>
          <w:p w:rsidR="00000000" w:rsidRPr="00197ECC" w:rsidP="00197ECC">
            <w:pPr>
              <w:pStyle w:val="BodyText"/>
            </w:pPr>
            <w:r w:rsidRPr="00197ECC">
              <w:t>1.7 Identify abnormal characteristics that may indicate the presence of notifiable and potentially hazardous conditions or diseases and take appropriate action</w:t>
            </w:r>
          </w:p>
          <w:p w:rsidR="00000000" w:rsidRPr="00197ECC" w:rsidP="00197ECC">
            <w:pPr>
              <w:pStyle w:val="BodyText"/>
            </w:pPr>
            <w:r w:rsidRPr="00197ECC">
              <w:t>1.8 Identify WHS hazards associated with the procedure and take</w:t>
            </w:r>
            <w:r w:rsidRPr="00197ECC">
              <w:t xml:space="preserve"> appropriate action to protect self and others</w:t>
            </w:r>
          </w:p>
          <w:p w:rsidR="00000000" w:rsidP="00197ECC">
            <w:pPr>
              <w:pStyle w:val="BodyText"/>
              <w:rPr>
                <w:lang w:val="en-NZ"/>
              </w:rPr>
            </w:pPr>
            <w:r w:rsidRPr="00197ECC">
              <w:t>1.9 Seek expert assistance as appropriate</w:t>
            </w:r>
          </w:p>
        </w:tc>
      </w:tr>
      <w:tr w:rsidTr="0004604C">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CC">
            <w:pPr>
              <w:pStyle w:val="BodyText"/>
              <w:rPr>
                <w:lang w:val="en-NZ"/>
              </w:rPr>
            </w:pPr>
            <w:r w:rsidRPr="00197ECC">
              <w:t>2. Carry out the post-mortem examination</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CC" w:rsidP="00197ECC">
            <w:pPr>
              <w:pStyle w:val="BodyText"/>
            </w:pPr>
            <w:r w:rsidRPr="00197ECC">
              <w:t>2.1 Carry out external assessment of the animal and note outward signs of abnormalities or injury</w:t>
            </w:r>
          </w:p>
          <w:p w:rsidR="00000000" w:rsidRPr="00197ECC" w:rsidP="00197ECC">
            <w:pPr>
              <w:pStyle w:val="BodyText"/>
            </w:pPr>
            <w:r w:rsidRPr="00197ECC">
              <w:t>2.2 Dissect animal using ap</w:t>
            </w:r>
            <w:r w:rsidRPr="00197ECC">
              <w:t>propriate techniques and equipment to avoid cutting into organs or stomach cavity</w:t>
            </w:r>
          </w:p>
          <w:p w:rsidR="00000000" w:rsidRPr="00197ECC" w:rsidP="00197ECC">
            <w:pPr>
              <w:pStyle w:val="BodyText"/>
            </w:pPr>
            <w:r w:rsidRPr="00197ECC">
              <w:t>2.3 Examine nominated organs, tissues and structures</w:t>
            </w:r>
          </w:p>
          <w:p w:rsidR="00000000" w:rsidP="00197ECC">
            <w:pPr>
              <w:pStyle w:val="BodyText"/>
              <w:rPr>
                <w:lang w:val="en-NZ"/>
              </w:rPr>
            </w:pPr>
            <w:r w:rsidRPr="00197ECC">
              <w:t>2.4 Take and prepare samples of organs, other tissues and fluid samples where appropriate</w:t>
            </w:r>
          </w:p>
        </w:tc>
      </w:tr>
      <w:tr w:rsidTr="0004604C">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CC">
            <w:pPr>
              <w:pStyle w:val="BodyText"/>
              <w:rPr>
                <w:lang w:val="en-NZ"/>
              </w:rPr>
            </w:pPr>
            <w:r w:rsidRPr="00197ECC">
              <w:t>3. Complete the post-mortem examination</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CC" w:rsidP="00197ECC">
            <w:pPr>
              <w:pStyle w:val="BodyText"/>
            </w:pPr>
            <w:r w:rsidRPr="00197ECC">
              <w:t>3.1 Dispose of carcass using appropriate equipment according to animal research practices and waste disposal legislation and regulations</w:t>
            </w:r>
          </w:p>
          <w:p w:rsidR="00000000" w:rsidRPr="00197ECC" w:rsidP="00197ECC">
            <w:pPr>
              <w:pStyle w:val="BodyText"/>
            </w:pPr>
            <w:r w:rsidRPr="00197ECC">
              <w:t>3.2 Send correctly labelled and packaged samples for analysis</w:t>
            </w:r>
          </w:p>
          <w:p w:rsidR="00000000" w:rsidRPr="00197ECC" w:rsidP="00197ECC">
            <w:pPr>
              <w:pStyle w:val="BodyText"/>
            </w:pPr>
            <w:r w:rsidRPr="00197ECC">
              <w:t>3.3 Collate recor</w:t>
            </w:r>
            <w:r w:rsidRPr="00197ECC">
              <w:t>ds of observations and information about the animal examined, and forward to the relevant persons for analysis and diagnosis</w:t>
            </w:r>
          </w:p>
          <w:p w:rsidR="00000000" w:rsidRPr="00197ECC" w:rsidP="00197ECC">
            <w:pPr>
              <w:pStyle w:val="BodyText"/>
            </w:pPr>
            <w:r w:rsidRPr="00197ECC">
              <w:t>3.4 Clean and disinfect post-mortem area and equipment</w:t>
            </w:r>
          </w:p>
          <w:p w:rsidR="00000000" w:rsidRPr="00197ECC" w:rsidP="00197ECC">
            <w:pPr>
              <w:pStyle w:val="BodyText"/>
            </w:pPr>
            <w:r w:rsidRPr="00197ECC">
              <w:t>3.5 Complete personal biosecurity clean-up</w:t>
            </w:r>
          </w:p>
        </w:tc>
      </w:tr>
    </w:tbl>
    <w:p w:rsidR="00000000" w:rsidRPr="00197ECC" w:rsidP="00197ECC">
      <w:pPr>
        <w:pStyle w:val="BodyText"/>
      </w:pPr>
    </w:p>
    <w:p w:rsidR="00000000" w:rsidRPr="00197ECC" w:rsidP="00197ECC">
      <w:pPr>
        <w:pStyle w:val="AllowPageBreak"/>
      </w:pPr>
    </w:p>
    <w:p w:rsidR="00000000" w:rsidRPr="00197ECC" w:rsidP="00197ECC">
      <w:pPr>
        <w:pStyle w:val="Heading1"/>
      </w:pPr>
      <w:bookmarkStart w:id="6" w:name="O_855969"/>
      <w:bookmarkEnd w:id="6"/>
      <w:r w:rsidRPr="00197ECC">
        <w:t>Foundation Ski</w:t>
      </w:r>
      <w:r w:rsidRPr="00197ECC">
        <w:t>lls</w:t>
      </w:r>
    </w:p>
    <w:p w:rsidR="00000000" w:rsidRPr="0004604C" w:rsidP="0004604C">
      <w:pPr>
        <w:pStyle w:val="BodyText"/>
        <w:rPr>
          <w:i/>
        </w:rPr>
      </w:pPr>
      <w:r w:rsidRPr="0004604C">
        <w:rPr>
          <w:rStyle w:val="Emphasis"/>
        </w:rPr>
        <w:t>This section describes those language, literacy, numeracy and employment skills that are essential for performance in this unit of competency but are not explicit in the performance criteria.</w:t>
      </w:r>
    </w:p>
    <w:tbl>
      <w:tblPr>
        <w:tblW w:w="9639" w:type="dxa"/>
        <w:tblLayout w:type="fixed"/>
        <w:tblCellMar>
          <w:left w:w="62" w:type="dxa"/>
          <w:right w:w="62" w:type="dxa"/>
        </w:tblCellMar>
        <w:tblLook w:val="0000"/>
      </w:tblPr>
      <w:tblGrid>
        <w:gridCol w:w="2693"/>
        <w:gridCol w:w="6946"/>
      </w:tblGrid>
      <w:tr w:rsidTr="00197ECC">
        <w:tblPrEx>
          <w:tblW w:w="9639" w:type="dxa"/>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CC" w:rsidP="00197ECC">
            <w:pPr>
              <w:pStyle w:val="BodyText"/>
            </w:pPr>
            <w:r w:rsidRPr="00197ECC">
              <w:rPr>
                <w:rStyle w:val="SpecialBold"/>
              </w:rPr>
              <w:t>Skill</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CC">
            <w:pPr>
              <w:pStyle w:val="BodyText"/>
              <w:rPr>
                <w:lang w:val="en-NZ"/>
              </w:rPr>
            </w:pPr>
            <w:r w:rsidRPr="00197ECC">
              <w:rPr>
                <w:rStyle w:val="SpecialBold"/>
              </w:rPr>
              <w:t>Description</w:t>
            </w:r>
          </w:p>
        </w:tc>
      </w:tr>
      <w:tr w:rsidTr="00197ECC">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CC">
            <w:pPr>
              <w:pStyle w:val="BodyText"/>
              <w:rPr>
                <w:lang w:val="en-NZ"/>
              </w:rPr>
            </w:pPr>
            <w:r w:rsidRPr="00197ECC">
              <w:t>Reading</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CC">
            <w:pPr>
              <w:pStyle w:val="ListBullet"/>
              <w:rPr>
                <w:lang w:val="en-NZ"/>
              </w:rPr>
            </w:pPr>
            <w:r w:rsidRPr="00197ECC">
              <w:t>Read and interpret relevant codes of practice</w:t>
            </w:r>
          </w:p>
        </w:tc>
      </w:tr>
      <w:tr w:rsidTr="00197ECC">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CC">
            <w:pPr>
              <w:pStyle w:val="BodyText"/>
              <w:rPr>
                <w:lang w:val="en-NZ"/>
              </w:rPr>
            </w:pPr>
            <w:r w:rsidRPr="00197ECC">
              <w:t>Get the work done</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CC" w:rsidP="00197ECC">
            <w:pPr>
              <w:pStyle w:val="ListBullet"/>
            </w:pPr>
            <w:r w:rsidRPr="00197ECC">
              <w:t>Develop, implement and monitor post-mortem examination to ensure effectiveness in meeting timelines and work schedules</w:t>
            </w:r>
          </w:p>
        </w:tc>
      </w:tr>
    </w:tbl>
    <w:p w:rsidR="00000000" w:rsidRPr="00197ECC" w:rsidP="00197ECC">
      <w:pPr>
        <w:pStyle w:val="BodyText"/>
      </w:pPr>
    </w:p>
    <w:p w:rsidR="00000000" w:rsidRPr="00197ECC" w:rsidP="00197ECC">
      <w:pPr>
        <w:pStyle w:val="AllowPageBreak"/>
      </w:pPr>
    </w:p>
    <w:p w:rsidR="00000000" w:rsidRPr="00197ECC" w:rsidP="00197ECC">
      <w:pPr>
        <w:pStyle w:val="Heading1"/>
      </w:pPr>
      <w:bookmarkStart w:id="7" w:name="O_855971"/>
      <w:bookmarkEnd w:id="7"/>
      <w:r w:rsidRPr="00197ECC">
        <w:t>Unit Mapping Information</w:t>
      </w:r>
    </w:p>
    <w:tbl>
      <w:tblPr>
        <w:tblW w:w="9640" w:type="dxa"/>
        <w:tblLayout w:type="fixed"/>
        <w:tblCellMar>
          <w:left w:w="62" w:type="dxa"/>
          <w:right w:w="62" w:type="dxa"/>
        </w:tblCellMar>
        <w:tblLook w:val="0000"/>
      </w:tblPr>
      <w:tblGrid>
        <w:gridCol w:w="2552"/>
        <w:gridCol w:w="2552"/>
        <w:gridCol w:w="2268"/>
        <w:gridCol w:w="2268"/>
      </w:tblGrid>
      <w:tr w:rsidTr="00197ECC">
        <w:tblPrEx>
          <w:tblW w:w="9640"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CC" w:rsidP="00197ECC">
            <w:pPr>
              <w:pStyle w:val="BodyText"/>
            </w:pPr>
            <w:r w:rsidRPr="00197ECC">
              <w:rPr>
                <w:rStyle w:val="SpecialBold"/>
              </w:rPr>
              <w:t>Code and title current vers</w:t>
            </w:r>
            <w:r w:rsidRPr="00197ECC">
              <w:rPr>
                <w:rStyle w:val="SpecialBold"/>
              </w:rPr>
              <w:t>ion</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CC" w:rsidP="00197ECC">
            <w:pPr>
              <w:pStyle w:val="BodyText"/>
            </w:pPr>
            <w:r w:rsidRPr="00197ECC">
              <w:rPr>
                <w:rStyle w:val="SpecialBold"/>
              </w:rPr>
              <w:t>Code and title previous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CC" w:rsidP="00197ECC">
            <w:pPr>
              <w:pStyle w:val="BodyText"/>
            </w:pPr>
            <w:r w:rsidRPr="00197ECC">
              <w:rPr>
                <w:rStyle w:val="SpecialBold"/>
              </w:rPr>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CC">
            <w:pPr>
              <w:pStyle w:val="BodyText"/>
              <w:rPr>
                <w:lang w:val="en-NZ"/>
              </w:rPr>
            </w:pPr>
            <w:r w:rsidRPr="00197ECC">
              <w:rPr>
                <w:rStyle w:val="SpecialBold"/>
              </w:rPr>
              <w:t>Equivalence status</w:t>
            </w:r>
          </w:p>
        </w:tc>
      </w:tr>
      <w:tr w:rsidTr="00197ECC">
        <w:tblPrEx>
          <w:tblW w:w="9640"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CC">
            <w:pPr>
              <w:pStyle w:val="BodyText"/>
              <w:rPr>
                <w:lang w:val="en-NZ"/>
              </w:rPr>
            </w:pPr>
            <w:r w:rsidRPr="00197ECC">
              <w:t>ACMATE503 Carry out post-mortem examination of a research animal</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CC">
            <w:pPr>
              <w:pStyle w:val="BodyText"/>
              <w:rPr>
                <w:lang w:val="en-NZ"/>
              </w:rPr>
            </w:pPr>
            <w:r w:rsidRPr="00197ECC">
              <w:t>ACMATE503A Carry out post-mortem examination of a research animal</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ECC">
            <w:pPr>
              <w:pStyle w:val="BodyText"/>
              <w:rPr>
                <w:lang w:val="en-NZ"/>
              </w:rPr>
            </w:pPr>
            <w:r w:rsidRPr="00197ECC">
              <w:t>Updated to meet Standards for Training Packages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ECC" w:rsidP="00197ECC">
            <w:pPr>
              <w:pStyle w:val="BodyText"/>
            </w:pPr>
            <w:r w:rsidRPr="00197ECC">
              <w:t xml:space="preserve">Equivalent unit </w:t>
            </w:r>
          </w:p>
        </w:tc>
      </w:tr>
    </w:tbl>
    <w:p w:rsidR="00000000" w:rsidRPr="00197ECC" w:rsidP="00197ECC">
      <w:pPr>
        <w:pStyle w:val="BodyText"/>
      </w:pPr>
    </w:p>
    <w:p w:rsidR="00000000" w:rsidRPr="00197ECC" w:rsidP="00197ECC">
      <w:pPr>
        <w:pStyle w:val="AllowPageBreak"/>
      </w:pPr>
    </w:p>
    <w:p w:rsidR="00000000" w:rsidRPr="00197ECC" w:rsidP="00197ECC">
      <w:pPr>
        <w:pStyle w:val="Heading1"/>
      </w:pPr>
      <w:bookmarkStart w:id="8" w:name="O_855978"/>
      <w:bookmarkEnd w:id="8"/>
      <w:r w:rsidRPr="00197ECC">
        <w:t>Links</w:t>
      </w:r>
    </w:p>
    <w:p w:rsidR="00000000" w:rsidRPr="00197ECC" w:rsidP="0004604C">
      <w:pPr>
        <w:pStyle w:val="BodyText"/>
      </w:pPr>
      <w:r w:rsidRPr="00197ECC">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C93E28">
        <w:rPr>
          <w:rStyle w:val="Hyperlink"/>
        </w:rPr>
        <w:t>https://vetnet.education.gov.au/Pages/TrainingDocs.aspx?q=b75f4b23-54c9-4cc9-a5db-d3502d154103</w:t>
      </w:r>
      <w:r>
        <w:fldChar w:fldCharType="end"/>
      </w:r>
    </w:p>
    <w:p w:rsidR="00000000" w:rsidRPr="00197ECC" w:rsidP="00197ECC"/>
    <w:sectPr w:rsidSect="00197E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CC" w:rsidRPr="0004604C" w:rsidP="000460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4C" w:rsidP="00197E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604C" w:rsidP="00197EC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04604C" w:rsidP="00197E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ECC" w:rsidRPr="0004604C" w:rsidP="000460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E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04C" w:rsidRPr="002D2AF8" w:rsidP="00197ECC">
    <w:pPr>
      <w:pStyle w:val="Header"/>
      <w:framePr w:wrap="around"/>
    </w:pPr>
    <w:r>
      <w:fldChar w:fldCharType="begin"/>
    </w:r>
    <w:r>
      <w:instrText xml:space="preserve"> TITLE   \* MERGEFORMAT </w:instrText>
    </w:r>
    <w:r>
      <w:fldChar w:fldCharType="separate"/>
    </w:r>
    <w:r>
      <w:t>ACMATE503 Carry out post-mortem examination of a research animal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04604C" w:rsidP="00197E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06F5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44E2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E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ECC"/>
    <w:pPr>
      <w:spacing w:before="360" w:after="60"/>
      <w:outlineLvl w:val="0"/>
    </w:pPr>
    <w:rPr>
      <w:sz w:val="32"/>
    </w:rPr>
  </w:style>
  <w:style w:type="paragraph" w:styleId="Heading2">
    <w:name w:val="heading 2"/>
    <w:basedOn w:val="HeadingBase"/>
    <w:next w:val="BodyText"/>
    <w:link w:val="Heading2Char"/>
    <w:qFormat/>
    <w:rsid w:val="00197ECC"/>
    <w:pPr>
      <w:keepLines/>
      <w:spacing w:before="240" w:after="120"/>
      <w:outlineLvl w:val="1"/>
    </w:pPr>
    <w:rPr>
      <w:sz w:val="28"/>
      <w:szCs w:val="40"/>
    </w:rPr>
  </w:style>
  <w:style w:type="paragraph" w:styleId="Heading3">
    <w:name w:val="heading 3"/>
    <w:basedOn w:val="HeadingBase"/>
    <w:next w:val="BodyText"/>
    <w:link w:val="Heading3Char"/>
    <w:qFormat/>
    <w:rsid w:val="00197ECC"/>
    <w:pPr>
      <w:spacing w:before="180" w:after="120"/>
      <w:outlineLvl w:val="2"/>
    </w:pPr>
    <w:rPr>
      <w:spacing w:val="-10"/>
      <w:kern w:val="32"/>
    </w:rPr>
  </w:style>
  <w:style w:type="paragraph" w:styleId="Heading4">
    <w:name w:val="heading 4"/>
    <w:basedOn w:val="HeadingBase"/>
    <w:next w:val="BodyText"/>
    <w:link w:val="Heading4Char"/>
    <w:qFormat/>
    <w:rsid w:val="00197ECC"/>
    <w:pPr>
      <w:spacing w:before="160" w:after="120"/>
      <w:outlineLvl w:val="3"/>
    </w:pPr>
    <w:rPr>
      <w:sz w:val="22"/>
    </w:rPr>
  </w:style>
  <w:style w:type="paragraph" w:styleId="Heading5">
    <w:name w:val="heading 5"/>
    <w:basedOn w:val="HeadingBase"/>
    <w:next w:val="Normal"/>
    <w:link w:val="Heading5Char"/>
    <w:qFormat/>
    <w:rsid w:val="00197ECC"/>
    <w:pPr>
      <w:spacing w:before="80"/>
      <w:outlineLvl w:val="4"/>
    </w:pPr>
    <w:rPr>
      <w:color w:val="918585"/>
      <w:sz w:val="20"/>
    </w:rPr>
  </w:style>
  <w:style w:type="paragraph" w:styleId="Heading6">
    <w:name w:val="heading 6"/>
    <w:basedOn w:val="HeadingBase"/>
    <w:next w:val="Normal"/>
    <w:link w:val="Heading6Char"/>
    <w:qFormat/>
    <w:rsid w:val="00197ECC"/>
    <w:pPr>
      <w:spacing w:before="60"/>
      <w:outlineLvl w:val="5"/>
    </w:pPr>
    <w:rPr>
      <w:color w:val="918585"/>
      <w:sz w:val="20"/>
    </w:rPr>
  </w:style>
  <w:style w:type="paragraph" w:styleId="Heading7">
    <w:name w:val="heading 7"/>
    <w:basedOn w:val="Normal"/>
    <w:next w:val="Normal"/>
    <w:link w:val="Heading7Char"/>
    <w:qFormat/>
    <w:rsid w:val="00197ECC"/>
    <w:pPr>
      <w:ind w:left="720"/>
      <w:outlineLvl w:val="6"/>
    </w:pPr>
    <w:rPr>
      <w:i/>
    </w:rPr>
  </w:style>
  <w:style w:type="paragraph" w:styleId="Heading8">
    <w:name w:val="heading 8"/>
    <w:basedOn w:val="Normal"/>
    <w:next w:val="Normal"/>
    <w:link w:val="Heading8Char"/>
    <w:qFormat/>
    <w:rsid w:val="00197ECC"/>
    <w:pPr>
      <w:ind w:left="720"/>
      <w:outlineLvl w:val="7"/>
    </w:pPr>
    <w:rPr>
      <w:i/>
    </w:rPr>
  </w:style>
  <w:style w:type="paragraph" w:styleId="Heading9">
    <w:name w:val="heading 9"/>
    <w:basedOn w:val="Normal"/>
    <w:next w:val="Normal"/>
    <w:link w:val="Heading9Char"/>
    <w:qFormat/>
    <w:rsid w:val="00197ECC"/>
    <w:pPr>
      <w:ind w:left="720"/>
      <w:outlineLvl w:val="8"/>
    </w:pPr>
    <w:rPr>
      <w:i/>
    </w:rPr>
  </w:style>
  <w:style w:type="character" w:default="1" w:styleId="DefaultParagraphFont">
    <w:name w:val="Default Paragraph Font"/>
    <w:uiPriority w:val="1"/>
    <w:unhideWhenUsed/>
    <w:rsid w:val="00197E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ECC"/>
  </w:style>
  <w:style w:type="character" w:customStyle="1" w:styleId="Heading1Char">
    <w:name w:val="Heading 1 Char"/>
    <w:basedOn w:val="DefaultParagraphFont"/>
    <w:link w:val="Heading1"/>
    <w:rsid w:val="00197ECC"/>
    <w:rPr>
      <w:rFonts w:ascii="Times New Roman" w:eastAsia="Times New Roman" w:hAnsi="Times New Roman" w:cs="Times New Roman"/>
      <w:b/>
      <w:sz w:val="32"/>
      <w:szCs w:val="20"/>
      <w:lang w:eastAsia="en-US"/>
    </w:rPr>
  </w:style>
  <w:style w:type="paragraph" w:styleId="BodyText">
    <w:name w:val="Body Text"/>
    <w:basedOn w:val="Normal"/>
    <w:link w:val="BodyTextChar"/>
    <w:rsid w:val="00197E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ECC"/>
    <w:rPr>
      <w:rFonts w:ascii="Times New Roman" w:eastAsia="Times New Roman" w:hAnsi="Times New Roman" w:cs="Times New Roman"/>
      <w:sz w:val="24"/>
      <w:lang w:eastAsia="en-US"/>
    </w:rPr>
  </w:style>
  <w:style w:type="paragraph" w:styleId="ListBullet">
    <w:name w:val="List Bullet"/>
    <w:basedOn w:val="List"/>
    <w:rsid w:val="00197ECC"/>
    <w:pPr>
      <w:numPr>
        <w:numId w:val="12"/>
      </w:numPr>
      <w:tabs>
        <w:tab w:val="clear" w:pos="340"/>
      </w:tabs>
      <w:spacing w:before="40" w:after="40"/>
    </w:pPr>
  </w:style>
  <w:style w:type="character" w:customStyle="1" w:styleId="SpecialBold">
    <w:name w:val="Special Bold"/>
    <w:basedOn w:val="DefaultParagraphFont"/>
    <w:rsid w:val="00197ECC"/>
    <w:rPr>
      <w:b/>
      <w:spacing w:val="0"/>
    </w:rPr>
  </w:style>
  <w:style w:type="character" w:styleId="Emphasis">
    <w:name w:val="Emphasis"/>
    <w:basedOn w:val="DefaultParagraphFont"/>
    <w:qFormat/>
    <w:rsid w:val="00197ECC"/>
    <w:rPr>
      <w:i/>
    </w:rPr>
  </w:style>
  <w:style w:type="paragraph" w:customStyle="1" w:styleId="SuperHeading">
    <w:name w:val="SuperHeading"/>
    <w:basedOn w:val="Normal"/>
    <w:rsid w:val="00197ECC"/>
    <w:pPr>
      <w:spacing w:before="240" w:after="120"/>
      <w:outlineLvl w:val="0"/>
    </w:pPr>
    <w:rPr>
      <w:rFonts w:ascii="Times New Roman" w:hAnsi="Times New Roman"/>
      <w:b/>
      <w:sz w:val="32"/>
    </w:rPr>
  </w:style>
  <w:style w:type="paragraph" w:customStyle="1" w:styleId="AllowPageBreak">
    <w:name w:val="AllowPageBreak"/>
    <w:rsid w:val="00197E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7E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E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E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E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E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E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E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ECC"/>
    <w:rPr>
      <w:rFonts w:ascii="Courier New" w:eastAsia="Times New Roman" w:hAnsi="Courier New" w:cs="Times New Roman"/>
      <w:i/>
      <w:szCs w:val="20"/>
      <w:lang w:eastAsia="en-US"/>
    </w:rPr>
  </w:style>
  <w:style w:type="paragraph" w:customStyle="1" w:styleId="HeadingBase">
    <w:name w:val="Heading Base"/>
    <w:rsid w:val="00197E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ECC"/>
    <w:pPr>
      <w:tabs>
        <w:tab w:val="right" w:leader="dot" w:pos="9072"/>
      </w:tabs>
      <w:ind w:left="567"/>
    </w:pPr>
    <w:rPr>
      <w:szCs w:val="22"/>
    </w:rPr>
  </w:style>
  <w:style w:type="paragraph" w:customStyle="1" w:styleId="TOCBase">
    <w:name w:val="TOC Base"/>
    <w:rsid w:val="00197E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ECC"/>
    <w:pPr>
      <w:tabs>
        <w:tab w:val="right" w:leader="dot" w:pos="9072"/>
      </w:tabs>
      <w:spacing w:before="40" w:after="40"/>
      <w:ind w:left="284"/>
    </w:pPr>
    <w:rPr>
      <w:rFonts w:ascii="Times New Roman" w:hAnsi="Times New Roman"/>
    </w:rPr>
  </w:style>
  <w:style w:type="paragraph" w:styleId="TOC1">
    <w:name w:val="toc 1"/>
    <w:basedOn w:val="TOCBase"/>
    <w:next w:val="Normal"/>
    <w:rsid w:val="00197E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E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ECC"/>
    <w:rPr>
      <w:rFonts w:ascii="Times New Roman" w:eastAsia="Times New Roman" w:hAnsi="Times New Roman" w:cs="Times New Roman"/>
      <w:sz w:val="16"/>
      <w:lang w:eastAsia="en-US"/>
    </w:rPr>
  </w:style>
  <w:style w:type="paragraph" w:styleId="Title">
    <w:name w:val="Title"/>
    <w:basedOn w:val="HeadingBase"/>
    <w:link w:val="TitleChar"/>
    <w:qFormat/>
    <w:rsid w:val="00197ECC"/>
    <w:pPr>
      <w:spacing w:before="5040"/>
      <w:jc w:val="center"/>
    </w:pPr>
    <w:rPr>
      <w:sz w:val="48"/>
      <w:szCs w:val="72"/>
      <w:lang w:val="en-US"/>
    </w:rPr>
  </w:style>
  <w:style w:type="character" w:customStyle="1" w:styleId="TitleChar">
    <w:name w:val="Title Char"/>
    <w:basedOn w:val="DefaultParagraphFont"/>
    <w:link w:val="Title"/>
    <w:rsid w:val="00197E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ECC"/>
    <w:pPr>
      <w:tabs>
        <w:tab w:val="left" w:pos="3600"/>
        <w:tab w:val="left" w:pos="3958"/>
      </w:tabs>
    </w:pPr>
  </w:style>
  <w:style w:type="paragraph" w:styleId="List">
    <w:name w:val="List"/>
    <w:basedOn w:val="BodyText"/>
    <w:next w:val="BodyText"/>
    <w:rsid w:val="00197ECC"/>
    <w:pPr>
      <w:tabs>
        <w:tab w:val="left" w:pos="340"/>
      </w:tabs>
      <w:spacing w:before="60" w:after="60"/>
      <w:ind w:left="340" w:hanging="340"/>
    </w:pPr>
  </w:style>
  <w:style w:type="paragraph" w:customStyle="1" w:styleId="Note">
    <w:name w:val="Note"/>
    <w:basedOn w:val="BodyText"/>
    <w:rsid w:val="00197E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ECC"/>
    <w:pPr>
      <w:framePr w:wrap="auto" w:hAnchor="text" w:y="6049"/>
    </w:pPr>
    <w:rPr>
      <w:color w:val="000000"/>
      <w:sz w:val="40"/>
    </w:rPr>
  </w:style>
  <w:style w:type="paragraph" w:customStyle="1" w:styleId="TOCTitle">
    <w:name w:val="TOCTitle"/>
    <w:basedOn w:val="Heading1"/>
    <w:rsid w:val="00197ECC"/>
    <w:pPr>
      <w:spacing w:after="240"/>
      <w:jc w:val="center"/>
      <w:outlineLvl w:val="9"/>
    </w:pPr>
    <w:rPr>
      <w:caps/>
    </w:rPr>
  </w:style>
  <w:style w:type="paragraph" w:customStyle="1" w:styleId="Version">
    <w:name w:val="Version"/>
    <w:rsid w:val="00197E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7ECC"/>
    <w:pPr>
      <w:numPr>
        <w:numId w:val="13"/>
      </w:numPr>
      <w:tabs>
        <w:tab w:val="clear" w:pos="680"/>
      </w:tabs>
    </w:pPr>
  </w:style>
  <w:style w:type="paragraph" w:styleId="Index1">
    <w:name w:val="index 1"/>
    <w:basedOn w:val="Normal"/>
    <w:next w:val="Normal"/>
    <w:semiHidden/>
    <w:rsid w:val="00197ECC"/>
    <w:pPr>
      <w:keepNext w:val="0"/>
      <w:tabs>
        <w:tab w:val="right" w:pos="4176"/>
      </w:tabs>
      <w:ind w:left="198" w:hanging="198"/>
    </w:pPr>
    <w:rPr>
      <w:rFonts w:ascii="Garamond" w:hAnsi="Garamond"/>
    </w:rPr>
  </w:style>
  <w:style w:type="paragraph" w:styleId="IndexHeading">
    <w:name w:val="index heading"/>
    <w:basedOn w:val="Normal"/>
    <w:next w:val="Index1"/>
    <w:semiHidden/>
    <w:rsid w:val="00197ECC"/>
    <w:pPr>
      <w:spacing w:before="120" w:after="120"/>
    </w:pPr>
    <w:rPr>
      <w:rFonts w:ascii="Arial" w:hAnsi="Arial"/>
      <w:b/>
      <w:color w:val="918585"/>
      <w:sz w:val="24"/>
    </w:rPr>
  </w:style>
  <w:style w:type="paragraph" w:styleId="Header">
    <w:name w:val="header"/>
    <w:basedOn w:val="Normal"/>
    <w:link w:val="HeaderChar"/>
    <w:rsid w:val="00197E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ECC"/>
    <w:rPr>
      <w:rFonts w:ascii="Times New Roman" w:eastAsia="Times New Roman" w:hAnsi="Times New Roman" w:cs="Times New Roman"/>
      <w:sz w:val="16"/>
      <w:szCs w:val="20"/>
      <w:lang w:val="en-GB" w:eastAsia="en-US"/>
    </w:rPr>
  </w:style>
  <w:style w:type="paragraph" w:customStyle="1" w:styleId="Chapter">
    <w:name w:val="Chapter"/>
    <w:basedOn w:val="Normal"/>
    <w:rsid w:val="00197ECC"/>
    <w:pPr>
      <w:spacing w:before="240"/>
    </w:pPr>
    <w:rPr>
      <w:rFonts w:ascii="Times New Roman" w:hAnsi="Times New Roman"/>
      <w:smallCaps/>
      <w:spacing w:val="80"/>
      <w:sz w:val="28"/>
    </w:rPr>
  </w:style>
  <w:style w:type="paragraph" w:customStyle="1" w:styleId="InChapter">
    <w:name w:val="InChapter"/>
    <w:basedOn w:val="Heading3"/>
    <w:rsid w:val="00197ECC"/>
    <w:pPr>
      <w:spacing w:after="240"/>
      <w:outlineLvl w:val="9"/>
    </w:pPr>
    <w:rPr>
      <w:noProof/>
    </w:rPr>
  </w:style>
  <w:style w:type="paragraph" w:styleId="Index2">
    <w:name w:val="index 2"/>
    <w:basedOn w:val="Normal"/>
    <w:next w:val="Normal"/>
    <w:semiHidden/>
    <w:rsid w:val="00197ECC"/>
    <w:pPr>
      <w:tabs>
        <w:tab w:val="right" w:pos="4176"/>
      </w:tabs>
      <w:ind w:left="568" w:hanging="284"/>
    </w:pPr>
    <w:rPr>
      <w:rFonts w:ascii="Garamond" w:hAnsi="Garamond"/>
    </w:rPr>
  </w:style>
  <w:style w:type="paragraph" w:customStyle="1" w:styleId="Byline">
    <w:name w:val="Byline"/>
    <w:rsid w:val="00197E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ECC"/>
    <w:pPr>
      <w:tabs>
        <w:tab w:val="clear" w:pos="3600"/>
        <w:tab w:val="clear" w:pos="3958"/>
      </w:tabs>
      <w:jc w:val="right"/>
    </w:pPr>
  </w:style>
  <w:style w:type="paragraph" w:styleId="Caption">
    <w:name w:val="caption"/>
    <w:basedOn w:val="BodyText"/>
    <w:next w:val="Normal"/>
    <w:qFormat/>
    <w:rsid w:val="00197ECC"/>
    <w:pPr>
      <w:framePr w:w="2268" w:hSpace="181" w:vSpace="181" w:wrap="around" w:vAnchor="text" w:hAnchor="page" w:x="1135" w:y="285" w:anchorLock="1"/>
    </w:pPr>
    <w:rPr>
      <w:i/>
    </w:rPr>
  </w:style>
  <w:style w:type="paragraph" w:customStyle="1" w:styleId="MiniTOCTitle">
    <w:name w:val="MiniTOCTitle"/>
    <w:basedOn w:val="Heading4"/>
    <w:rsid w:val="00197ECC"/>
    <w:pPr>
      <w:spacing w:before="240"/>
      <w:outlineLvl w:val="9"/>
    </w:pPr>
    <w:rPr>
      <w:noProof/>
      <w:sz w:val="24"/>
    </w:rPr>
  </w:style>
  <w:style w:type="paragraph" w:customStyle="1" w:styleId="MiniTOCItem">
    <w:name w:val="MiniTOCItem"/>
    <w:basedOn w:val="ListBullet"/>
    <w:rsid w:val="00197ECC"/>
    <w:pPr>
      <w:numPr>
        <w:numId w:val="0"/>
      </w:numPr>
      <w:tabs>
        <w:tab w:val="right" w:leader="dot" w:pos="6521"/>
      </w:tabs>
      <w:spacing w:before="0" w:after="0"/>
    </w:pPr>
  </w:style>
  <w:style w:type="paragraph" w:customStyle="1" w:styleId="TOFTitle">
    <w:name w:val="TOFTitle"/>
    <w:basedOn w:val="TOCTitle"/>
    <w:rsid w:val="00197ECC"/>
  </w:style>
  <w:style w:type="paragraph" w:styleId="TableofFigures">
    <w:name w:val="table of figures"/>
    <w:basedOn w:val="Normal"/>
    <w:next w:val="Normal"/>
    <w:semiHidden/>
    <w:rsid w:val="00197ECC"/>
    <w:pPr>
      <w:tabs>
        <w:tab w:val="right" w:leader="dot" w:pos="9072"/>
      </w:tabs>
      <w:ind w:left="970" w:hanging="403"/>
    </w:pPr>
    <w:rPr>
      <w:rFonts w:ascii="Times New Roman" w:hAnsi="Times New Roman"/>
      <w:b/>
    </w:rPr>
  </w:style>
  <w:style w:type="paragraph" w:styleId="ListNumber">
    <w:name w:val="List Number"/>
    <w:basedOn w:val="List"/>
    <w:rsid w:val="00197ECC"/>
    <w:pPr>
      <w:numPr>
        <w:numId w:val="10"/>
      </w:numPr>
    </w:pPr>
  </w:style>
  <w:style w:type="character" w:customStyle="1" w:styleId="WingdingSymbols">
    <w:name w:val="Wingding Symbols"/>
    <w:rsid w:val="00197ECC"/>
    <w:rPr>
      <w:rFonts w:ascii="Wingdings" w:hAnsi="Wingdings"/>
    </w:rPr>
  </w:style>
  <w:style w:type="paragraph" w:customStyle="1" w:styleId="TableHeading">
    <w:name w:val="Table Heading"/>
    <w:basedOn w:val="HeadingBase"/>
    <w:rsid w:val="00197ECC"/>
    <w:pPr>
      <w:keepLines/>
      <w:pBdr>
        <w:bottom w:val="single" w:sz="6" w:space="1" w:color="918585"/>
      </w:pBdr>
      <w:spacing w:before="240"/>
    </w:pPr>
  </w:style>
  <w:style w:type="character" w:customStyle="1" w:styleId="HotSpot">
    <w:name w:val="HotSpot"/>
    <w:rsid w:val="00197ECC"/>
    <w:rPr>
      <w:color w:val="0033CC"/>
      <w:u w:val="none"/>
    </w:rPr>
  </w:style>
  <w:style w:type="paragraph" w:customStyle="1" w:styleId="BodyTextRight">
    <w:name w:val="Body Text Right"/>
    <w:basedOn w:val="BodyText"/>
    <w:rsid w:val="00197ECC"/>
    <w:pPr>
      <w:spacing w:before="0" w:after="0"/>
      <w:jc w:val="right"/>
    </w:pPr>
  </w:style>
  <w:style w:type="paragraph" w:styleId="Index3">
    <w:name w:val="index 3"/>
    <w:basedOn w:val="ListNumber2"/>
    <w:next w:val="Normal"/>
    <w:semiHidden/>
    <w:rsid w:val="00197ECC"/>
    <w:pPr>
      <w:numPr>
        <w:numId w:val="0"/>
      </w:numPr>
      <w:tabs>
        <w:tab w:val="right" w:leader="dot" w:pos="4176"/>
      </w:tabs>
    </w:pPr>
  </w:style>
  <w:style w:type="paragraph" w:styleId="ListNumber2">
    <w:name w:val="List Number 2"/>
    <w:basedOn w:val="List2"/>
    <w:rsid w:val="00197ECC"/>
    <w:pPr>
      <w:numPr>
        <w:numId w:val="9"/>
      </w:numPr>
      <w:tabs>
        <w:tab w:val="clear" w:pos="1060"/>
      </w:tabs>
    </w:pPr>
  </w:style>
  <w:style w:type="paragraph" w:customStyle="1" w:styleId="MarginNote">
    <w:name w:val="Margin Note"/>
    <w:basedOn w:val="BodyText"/>
    <w:rsid w:val="00197E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E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E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ECC"/>
    <w:rPr>
      <w:sz w:val="32"/>
    </w:rPr>
  </w:style>
  <w:style w:type="paragraph" w:customStyle="1" w:styleId="HeadingProcedure">
    <w:name w:val="Heading Procedure"/>
    <w:basedOn w:val="HeadingBase"/>
    <w:next w:val="Normal"/>
    <w:rsid w:val="00197ECC"/>
    <w:pPr>
      <w:tabs>
        <w:tab w:val="left" w:pos="0"/>
      </w:tabs>
      <w:spacing w:before="120" w:after="60"/>
    </w:pPr>
    <w:rPr>
      <w:i/>
      <w:color w:val="918585"/>
      <w:sz w:val="22"/>
    </w:rPr>
  </w:style>
  <w:style w:type="paragraph" w:customStyle="1" w:styleId="TableBodyText">
    <w:name w:val="Table Body Text"/>
    <w:basedOn w:val="BodyText"/>
    <w:rsid w:val="00197ECC"/>
    <w:pPr>
      <w:spacing w:before="60" w:after="60"/>
    </w:pPr>
  </w:style>
  <w:style w:type="paragraph" w:styleId="ListContinue">
    <w:name w:val="List Continue"/>
    <w:basedOn w:val="List"/>
    <w:rsid w:val="00197ECC"/>
    <w:pPr>
      <w:ind w:firstLine="0"/>
    </w:pPr>
  </w:style>
  <w:style w:type="paragraph" w:customStyle="1" w:styleId="ListNote">
    <w:name w:val="List Note"/>
    <w:basedOn w:val="List"/>
    <w:rsid w:val="00197ECC"/>
    <w:pPr>
      <w:pBdr>
        <w:top w:val="single" w:sz="6" w:space="2" w:color="918585"/>
        <w:bottom w:val="single" w:sz="6" w:space="2" w:color="918585"/>
      </w:pBdr>
      <w:tabs>
        <w:tab w:val="left" w:pos="1021"/>
      </w:tabs>
      <w:ind w:firstLine="0"/>
    </w:pPr>
  </w:style>
  <w:style w:type="paragraph" w:customStyle="1" w:styleId="Warning">
    <w:name w:val="Warning"/>
    <w:basedOn w:val="BodyText"/>
    <w:rsid w:val="00197ECC"/>
    <w:pPr>
      <w:shd w:val="clear" w:color="auto" w:fill="D9D9D9"/>
      <w:tabs>
        <w:tab w:val="left" w:pos="992"/>
      </w:tabs>
      <w:ind w:left="119" w:right="119"/>
    </w:pPr>
    <w:rPr>
      <w:sz w:val="20"/>
    </w:rPr>
  </w:style>
  <w:style w:type="paragraph" w:customStyle="1" w:styleId="MarginIcons">
    <w:name w:val="Margin Icons"/>
    <w:basedOn w:val="BodyText"/>
    <w:rsid w:val="00197E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ECC"/>
    <w:rPr>
      <w:rFonts w:ascii="Courier New" w:hAnsi="Courier New"/>
    </w:rPr>
  </w:style>
  <w:style w:type="paragraph" w:customStyle="1" w:styleId="NoteBullet">
    <w:name w:val="Note Bullet"/>
    <w:basedOn w:val="Note"/>
    <w:rsid w:val="00197ECC"/>
    <w:pPr>
      <w:tabs>
        <w:tab w:val="clear" w:pos="680"/>
      </w:tabs>
      <w:spacing w:before="60" w:after="60"/>
    </w:pPr>
  </w:style>
  <w:style w:type="paragraph" w:customStyle="1" w:styleId="SubHeading2">
    <w:name w:val="SubHeading2"/>
    <w:basedOn w:val="HeadingBase"/>
    <w:rsid w:val="00197ECC"/>
    <w:pPr>
      <w:spacing w:before="240" w:after="60"/>
    </w:pPr>
    <w:rPr>
      <w:sz w:val="20"/>
    </w:rPr>
  </w:style>
  <w:style w:type="paragraph" w:customStyle="1" w:styleId="SubHeading1">
    <w:name w:val="SubHeading1"/>
    <w:basedOn w:val="HeadingBase"/>
    <w:rsid w:val="00197ECC"/>
    <w:pPr>
      <w:spacing w:before="240" w:after="60"/>
    </w:pPr>
    <w:rPr>
      <w:color w:val="918585"/>
      <w:sz w:val="22"/>
    </w:rPr>
  </w:style>
  <w:style w:type="paragraph" w:customStyle="1" w:styleId="SideHeading">
    <w:name w:val="Side Heading"/>
    <w:basedOn w:val="HeadingBase"/>
    <w:rsid w:val="00197E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ECC"/>
    <w:pPr>
      <w:tabs>
        <w:tab w:val="num" w:pos="360"/>
      </w:tabs>
    </w:pPr>
  </w:style>
  <w:style w:type="paragraph" w:styleId="PlainText">
    <w:name w:val="Plain Text"/>
    <w:basedOn w:val="Normal"/>
    <w:link w:val="PlainTextChar"/>
    <w:rsid w:val="00197ECC"/>
    <w:rPr>
      <w:sz w:val="20"/>
    </w:rPr>
  </w:style>
  <w:style w:type="character" w:customStyle="1" w:styleId="PlainTextChar">
    <w:name w:val="Plain Text Char"/>
    <w:basedOn w:val="DefaultParagraphFont"/>
    <w:link w:val="PlainText"/>
    <w:rsid w:val="00197ECC"/>
    <w:rPr>
      <w:rFonts w:ascii="Courier New" w:eastAsia="Times New Roman" w:hAnsi="Courier New" w:cs="Times New Roman"/>
      <w:sz w:val="20"/>
      <w:szCs w:val="20"/>
      <w:lang w:eastAsia="en-US"/>
    </w:rPr>
  </w:style>
  <w:style w:type="character" w:customStyle="1" w:styleId="MenuOption">
    <w:name w:val="Menu Option"/>
    <w:basedOn w:val="DefaultParagraphFont"/>
    <w:rsid w:val="00197ECC"/>
    <w:rPr>
      <w:b/>
      <w:smallCaps/>
    </w:rPr>
  </w:style>
  <w:style w:type="paragraph" w:customStyle="1" w:styleId="TableListNumber">
    <w:name w:val="Table List Number"/>
    <w:basedOn w:val="ListNumber"/>
    <w:rsid w:val="00197ECC"/>
    <w:pPr>
      <w:numPr>
        <w:numId w:val="0"/>
      </w:numPr>
    </w:pPr>
  </w:style>
  <w:style w:type="paragraph" w:styleId="TOC4">
    <w:name w:val="toc 4"/>
    <w:basedOn w:val="TOCBase"/>
    <w:next w:val="Normal"/>
    <w:semiHidden/>
    <w:rsid w:val="00197ECC"/>
    <w:pPr>
      <w:tabs>
        <w:tab w:val="right" w:leader="dot" w:pos="9071"/>
      </w:tabs>
      <w:ind w:left="1701"/>
    </w:pPr>
  </w:style>
  <w:style w:type="paragraph" w:customStyle="1" w:styleId="ListAlpha">
    <w:name w:val="List Alpha"/>
    <w:basedOn w:val="List"/>
    <w:rsid w:val="00197ECC"/>
    <w:pPr>
      <w:numPr>
        <w:numId w:val="8"/>
      </w:numPr>
    </w:pPr>
  </w:style>
  <w:style w:type="paragraph" w:customStyle="1" w:styleId="ListAlpha2">
    <w:name w:val="List Alpha 2"/>
    <w:basedOn w:val="List2"/>
    <w:rsid w:val="00197ECC"/>
    <w:pPr>
      <w:numPr>
        <w:numId w:val="7"/>
      </w:numPr>
    </w:pPr>
  </w:style>
  <w:style w:type="paragraph" w:styleId="List2">
    <w:name w:val="List 2"/>
    <w:basedOn w:val="BodyText"/>
    <w:rsid w:val="00197ECC"/>
    <w:pPr>
      <w:tabs>
        <w:tab w:val="left" w:pos="680"/>
      </w:tabs>
      <w:spacing w:before="60" w:after="60"/>
      <w:ind w:left="680" w:hanging="340"/>
    </w:pPr>
  </w:style>
  <w:style w:type="paragraph" w:styleId="List3">
    <w:name w:val="List 3"/>
    <w:basedOn w:val="BodyText"/>
    <w:rsid w:val="00197ECC"/>
    <w:pPr>
      <w:tabs>
        <w:tab w:val="left" w:pos="1021"/>
      </w:tabs>
      <w:spacing w:before="60" w:after="60"/>
      <w:ind w:left="1020" w:hanging="340"/>
    </w:pPr>
  </w:style>
  <w:style w:type="paragraph" w:styleId="List4">
    <w:name w:val="List 4"/>
    <w:basedOn w:val="BodyText"/>
    <w:rsid w:val="00197ECC"/>
    <w:pPr>
      <w:tabs>
        <w:tab w:val="left" w:pos="1361"/>
      </w:tabs>
      <w:spacing w:before="60" w:after="60"/>
      <w:ind w:left="1361" w:hanging="340"/>
    </w:pPr>
  </w:style>
  <w:style w:type="paragraph" w:styleId="List5">
    <w:name w:val="List 5"/>
    <w:basedOn w:val="BodyText"/>
    <w:rsid w:val="00197ECC"/>
    <w:pPr>
      <w:tabs>
        <w:tab w:val="left" w:pos="1701"/>
      </w:tabs>
      <w:spacing w:before="60" w:after="60"/>
      <w:ind w:left="1701" w:hanging="340"/>
    </w:pPr>
  </w:style>
  <w:style w:type="paragraph" w:styleId="ListBullet3">
    <w:name w:val="List Bullet 3"/>
    <w:basedOn w:val="List3"/>
    <w:rsid w:val="00197ECC"/>
    <w:pPr>
      <w:numPr>
        <w:numId w:val="14"/>
      </w:numPr>
      <w:tabs>
        <w:tab w:val="clear" w:pos="1021"/>
      </w:tabs>
      <w:ind w:left="1037" w:hanging="357"/>
    </w:pPr>
  </w:style>
  <w:style w:type="paragraph" w:styleId="ListBullet4">
    <w:name w:val="List Bullet 4"/>
    <w:basedOn w:val="List4"/>
    <w:rsid w:val="00197ECC"/>
    <w:pPr>
      <w:numPr>
        <w:numId w:val="2"/>
      </w:numPr>
      <w:tabs>
        <w:tab w:val="clear" w:pos="1361"/>
      </w:tabs>
    </w:pPr>
  </w:style>
  <w:style w:type="paragraph" w:styleId="ListBullet5">
    <w:name w:val="List Bullet 5"/>
    <w:basedOn w:val="List5"/>
    <w:rsid w:val="00197ECC"/>
    <w:pPr>
      <w:numPr>
        <w:numId w:val="3"/>
      </w:numPr>
    </w:pPr>
  </w:style>
  <w:style w:type="paragraph" w:styleId="ListContinue2">
    <w:name w:val="List Continue 2"/>
    <w:basedOn w:val="List2"/>
    <w:rsid w:val="00197ECC"/>
    <w:pPr>
      <w:ind w:firstLine="0"/>
    </w:pPr>
  </w:style>
  <w:style w:type="paragraph" w:styleId="ListContinue3">
    <w:name w:val="List Continue 3"/>
    <w:basedOn w:val="List3"/>
    <w:rsid w:val="00197ECC"/>
    <w:pPr>
      <w:ind w:left="1021" w:firstLine="0"/>
    </w:pPr>
  </w:style>
  <w:style w:type="paragraph" w:styleId="ListContinue4">
    <w:name w:val="List Continue 4"/>
    <w:basedOn w:val="List4"/>
    <w:rsid w:val="00197ECC"/>
    <w:pPr>
      <w:ind w:firstLine="0"/>
    </w:pPr>
  </w:style>
  <w:style w:type="paragraph" w:styleId="ListContinue5">
    <w:name w:val="List Continue 5"/>
    <w:basedOn w:val="List5"/>
    <w:rsid w:val="00197ECC"/>
    <w:pPr>
      <w:ind w:firstLine="0"/>
    </w:pPr>
  </w:style>
  <w:style w:type="paragraph" w:styleId="ListNumber3">
    <w:name w:val="List Number 3"/>
    <w:basedOn w:val="List3"/>
    <w:rsid w:val="00197ECC"/>
    <w:pPr>
      <w:numPr>
        <w:numId w:val="4"/>
      </w:numPr>
    </w:pPr>
  </w:style>
  <w:style w:type="paragraph" w:styleId="ListNumber4">
    <w:name w:val="List Number 4"/>
    <w:basedOn w:val="List4"/>
    <w:rsid w:val="00197ECC"/>
    <w:pPr>
      <w:numPr>
        <w:numId w:val="5"/>
      </w:numPr>
    </w:pPr>
  </w:style>
  <w:style w:type="paragraph" w:styleId="ListNumber5">
    <w:name w:val="List Number 5"/>
    <w:basedOn w:val="List5"/>
    <w:rsid w:val="00197ECC"/>
    <w:pPr>
      <w:numPr>
        <w:numId w:val="6"/>
      </w:numPr>
    </w:pPr>
  </w:style>
  <w:style w:type="paragraph" w:styleId="BlockText">
    <w:name w:val="Block Text"/>
    <w:basedOn w:val="Normal"/>
    <w:rsid w:val="00197ECC"/>
    <w:pPr>
      <w:spacing w:after="120"/>
      <w:ind w:left="1440" w:right="1440"/>
    </w:pPr>
  </w:style>
  <w:style w:type="character" w:customStyle="1" w:styleId="Subscript">
    <w:name w:val="Subscript"/>
    <w:basedOn w:val="DefaultParagraphFont"/>
    <w:rsid w:val="00197ECC"/>
    <w:rPr>
      <w:sz w:val="16"/>
      <w:vertAlign w:val="subscript"/>
    </w:rPr>
  </w:style>
  <w:style w:type="character" w:customStyle="1" w:styleId="Superscript">
    <w:name w:val="Superscript"/>
    <w:basedOn w:val="DefaultParagraphFont"/>
    <w:rsid w:val="00197ECC"/>
    <w:rPr>
      <w:sz w:val="16"/>
      <w:vertAlign w:val="superscript"/>
    </w:rPr>
  </w:style>
  <w:style w:type="character" w:customStyle="1" w:styleId="Symbols">
    <w:name w:val="Symbols"/>
    <w:basedOn w:val="DefaultParagraphFont"/>
    <w:rsid w:val="00197ECC"/>
    <w:rPr>
      <w:rFonts w:ascii="Symbol" w:hAnsi="Symbol"/>
    </w:rPr>
  </w:style>
  <w:style w:type="character" w:customStyle="1" w:styleId="MenuOptions">
    <w:name w:val="Menu Options"/>
    <w:basedOn w:val="DefaultParagraphFont"/>
    <w:rsid w:val="00197ECC"/>
    <w:rPr>
      <w:rFonts w:ascii="Arial Narrow" w:hAnsi="Arial Narrow"/>
      <w:smallCaps/>
    </w:rPr>
  </w:style>
  <w:style w:type="character" w:customStyle="1" w:styleId="Buttons">
    <w:name w:val="Buttons"/>
    <w:basedOn w:val="DefaultParagraphFont"/>
    <w:rsid w:val="00197ECC"/>
    <w:rPr>
      <w:b/>
    </w:rPr>
  </w:style>
  <w:style w:type="character" w:customStyle="1" w:styleId="Underlined">
    <w:name w:val="Underlined"/>
    <w:basedOn w:val="DefaultParagraphFont"/>
    <w:rsid w:val="00197ECC"/>
    <w:rPr>
      <w:u w:val="single"/>
    </w:rPr>
  </w:style>
  <w:style w:type="paragraph" w:customStyle="1" w:styleId="TableBodyTextRight">
    <w:name w:val="Table Body Text Right"/>
    <w:basedOn w:val="TableBodyText"/>
    <w:rsid w:val="00197ECC"/>
    <w:pPr>
      <w:widowControl w:val="0"/>
      <w:autoSpaceDE w:val="0"/>
      <w:autoSpaceDN w:val="0"/>
      <w:adjustRightInd w:val="0"/>
      <w:jc w:val="right"/>
    </w:pPr>
    <w:rPr>
      <w:rFonts w:cs="Arial"/>
      <w:szCs w:val="18"/>
    </w:rPr>
  </w:style>
  <w:style w:type="paragraph" w:customStyle="1" w:styleId="CopyrightText">
    <w:name w:val="Copyright Text"/>
    <w:basedOn w:val="BodyText"/>
    <w:rsid w:val="00197ECC"/>
    <w:rPr>
      <w:sz w:val="18"/>
    </w:rPr>
  </w:style>
  <w:style w:type="paragraph" w:customStyle="1" w:styleId="BodySmallRight">
    <w:name w:val="Body Small Right"/>
    <w:basedOn w:val="BodyTextRight"/>
    <w:rsid w:val="00197ECC"/>
    <w:rPr>
      <w:sz w:val="18"/>
      <w:szCs w:val="18"/>
    </w:rPr>
  </w:style>
  <w:style w:type="paragraph" w:customStyle="1" w:styleId="MarginEdition">
    <w:name w:val="Margin Edition"/>
    <w:basedOn w:val="MarginNote"/>
    <w:rsid w:val="00197ECC"/>
    <w:pPr>
      <w:spacing w:before="0" w:after="0"/>
    </w:pPr>
    <w:rPr>
      <w:rFonts w:ascii="Times New Roman" w:hAnsi="Times New Roman"/>
      <w:color w:val="999999"/>
    </w:rPr>
  </w:style>
  <w:style w:type="paragraph" w:customStyle="1" w:styleId="Spacer">
    <w:name w:val="Spacer"/>
    <w:basedOn w:val="Normal"/>
    <w:rsid w:val="00197ECC"/>
    <w:rPr>
      <w:sz w:val="2"/>
      <w:szCs w:val="2"/>
    </w:rPr>
  </w:style>
  <w:style w:type="character" w:customStyle="1" w:styleId="Small">
    <w:name w:val="Small"/>
    <w:basedOn w:val="DefaultParagraphFont"/>
    <w:rsid w:val="00197ECC"/>
    <w:rPr>
      <w:sz w:val="16"/>
    </w:rPr>
  </w:style>
  <w:style w:type="paragraph" w:customStyle="1" w:styleId="WideTable">
    <w:name w:val="Wide Table"/>
    <w:basedOn w:val="Normal"/>
    <w:rsid w:val="00197ECC"/>
    <w:pPr>
      <w:ind w:left="-1418"/>
    </w:pPr>
    <w:rPr>
      <w:sz w:val="2"/>
      <w:szCs w:val="2"/>
    </w:rPr>
  </w:style>
  <w:style w:type="character" w:styleId="PageNumber">
    <w:name w:val="page number"/>
    <w:basedOn w:val="DefaultParagraphFont"/>
    <w:rsid w:val="00197ECC"/>
  </w:style>
  <w:style w:type="paragraph" w:styleId="Quote">
    <w:name w:val="Quote"/>
    <w:basedOn w:val="Heading1"/>
    <w:link w:val="QuoteChar"/>
    <w:qFormat/>
    <w:rsid w:val="00197ECC"/>
    <w:rPr>
      <w:b w:val="0"/>
      <w:sz w:val="72"/>
      <w:szCs w:val="72"/>
      <w:lang w:val="en-NZ"/>
    </w:rPr>
  </w:style>
  <w:style w:type="character" w:customStyle="1" w:styleId="QuoteChar">
    <w:name w:val="Quote Char"/>
    <w:basedOn w:val="DefaultParagraphFont"/>
    <w:link w:val="Quote"/>
    <w:rsid w:val="00197E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ECC"/>
    <w:pPr>
      <w:pageBreakBefore/>
    </w:pPr>
  </w:style>
  <w:style w:type="paragraph" w:customStyle="1" w:styleId="Border">
    <w:name w:val="Border"/>
    <w:basedOn w:val="Normal"/>
    <w:qFormat/>
    <w:rsid w:val="00197E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ECC"/>
    <w:rPr>
      <w:b/>
      <w:bCs/>
      <w:i/>
      <w:iCs/>
      <w:color w:val="auto"/>
    </w:rPr>
  </w:style>
  <w:style w:type="paragraph" w:styleId="IntenseQuote">
    <w:name w:val="Intense Quote"/>
    <w:basedOn w:val="Normal"/>
    <w:next w:val="Normal"/>
    <w:link w:val="IntenseQuoteChar"/>
    <w:uiPriority w:val="30"/>
    <w:qFormat/>
    <w:rsid w:val="00197E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E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ECC"/>
    <w:rPr>
      <w:smallCaps/>
      <w:color w:val="auto"/>
      <w:u w:val="single"/>
    </w:rPr>
  </w:style>
  <w:style w:type="character" w:styleId="IntenseReference">
    <w:name w:val="Intense Reference"/>
    <w:basedOn w:val="DefaultParagraphFont"/>
    <w:uiPriority w:val="32"/>
    <w:qFormat/>
    <w:rsid w:val="00197ECC"/>
    <w:rPr>
      <w:b/>
      <w:bCs/>
      <w:smallCaps/>
      <w:color w:val="auto"/>
      <w:spacing w:val="5"/>
      <w:u w:val="single"/>
    </w:rPr>
  </w:style>
  <w:style w:type="paragraph" w:customStyle="1" w:styleId="2ColumnHeading">
    <w:name w:val="2Column Heading"/>
    <w:basedOn w:val="BodyText"/>
    <w:qFormat/>
    <w:rsid w:val="00197ECC"/>
    <w:pPr>
      <w:spacing w:after="60"/>
      <w:ind w:left="-2268"/>
    </w:pPr>
    <w:rPr>
      <w:b/>
    </w:rPr>
  </w:style>
  <w:style w:type="paragraph" w:customStyle="1" w:styleId="Heading1TOC">
    <w:name w:val="Heading1 TOC"/>
    <w:basedOn w:val="Normal"/>
    <w:qFormat/>
    <w:rsid w:val="00197ECC"/>
    <w:pPr>
      <w:spacing w:before="240" w:after="120"/>
    </w:pPr>
    <w:rPr>
      <w:rFonts w:ascii="Times New Roman" w:hAnsi="Times New Roman"/>
      <w:b/>
      <w:sz w:val="32"/>
    </w:rPr>
  </w:style>
  <w:style w:type="paragraph" w:customStyle="1" w:styleId="Heading2TOC">
    <w:name w:val="Heading2 TOC"/>
    <w:basedOn w:val="Normal"/>
    <w:qFormat/>
    <w:rsid w:val="00197ECC"/>
    <w:pPr>
      <w:spacing w:before="240" w:after="60"/>
    </w:pPr>
    <w:rPr>
      <w:rFonts w:ascii="Times New Roman" w:hAnsi="Times New Roman"/>
      <w:b/>
      <w:sz w:val="28"/>
    </w:rPr>
  </w:style>
  <w:style w:type="character" w:customStyle="1" w:styleId="Underline">
    <w:name w:val="Underline"/>
    <w:basedOn w:val="DefaultParagraphFont"/>
    <w:qFormat/>
    <w:rsid w:val="00197ECC"/>
    <w:rPr>
      <w:u w:val="single"/>
    </w:rPr>
  </w:style>
  <w:style w:type="character" w:customStyle="1" w:styleId="BoldandItalics">
    <w:name w:val="Bold and Italics"/>
    <w:qFormat/>
    <w:rsid w:val="00197ECC"/>
    <w:rPr>
      <w:b/>
      <w:i/>
      <w:u w:val="none"/>
    </w:rPr>
  </w:style>
  <w:style w:type="paragraph" w:styleId="BalloonText">
    <w:name w:val="Balloon Text"/>
    <w:basedOn w:val="Normal"/>
    <w:link w:val="BalloonTextChar"/>
    <w:rsid w:val="00197ECC"/>
    <w:rPr>
      <w:rFonts w:ascii="Tahoma" w:hAnsi="Tahoma" w:cs="Tahoma"/>
      <w:sz w:val="16"/>
      <w:szCs w:val="16"/>
    </w:rPr>
  </w:style>
  <w:style w:type="character" w:customStyle="1" w:styleId="BalloonTextChar">
    <w:name w:val="Balloon Text Char"/>
    <w:basedOn w:val="DefaultParagraphFont"/>
    <w:link w:val="BalloonText"/>
    <w:rsid w:val="00197E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E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E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ECC"/>
    <w:rPr>
      <w:b/>
      <w:color w:val="660033"/>
      <w:spacing w:val="0"/>
    </w:rPr>
  </w:style>
  <w:style w:type="paragraph" w:customStyle="1" w:styleId="Nameditemlist">
    <w:name w:val="Named item list"/>
    <w:basedOn w:val="BodyText"/>
    <w:qFormat/>
    <w:rsid w:val="00197ECC"/>
    <w:pPr>
      <w:tabs>
        <w:tab w:val="left" w:pos="2835"/>
      </w:tabs>
      <w:ind w:left="2835" w:hanging="2835"/>
    </w:pPr>
  </w:style>
  <w:style w:type="paragraph" w:customStyle="1" w:styleId="BodyTextnopadding">
    <w:name w:val="Body Text no padding"/>
    <w:basedOn w:val="BodyText"/>
    <w:qFormat/>
    <w:rsid w:val="00197ECC"/>
    <w:pPr>
      <w:spacing w:before="0" w:after="0"/>
    </w:pPr>
  </w:style>
  <w:style w:type="character" w:styleId="Hyperlink">
    <w:name w:val="Hyperlink"/>
    <w:basedOn w:val="DefaultParagraphFont"/>
    <w:uiPriority w:val="99"/>
    <w:unhideWhenUsed/>
    <w:rsid w:val="000460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3836</Characters>
  <Application>Microsoft Office Word</Application>
  <DocSecurity>0</DocSecurity>
  <Lines>132</Lines>
  <Paragraphs>74</Paragraphs>
  <ScaleCrop>false</ScaleCrop>
  <Company>Author-it Software Corporation Ltd.</Company>
  <LinksUpToDate>false</LinksUpToDate>
  <CharactersWithSpaces>4388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ACMATE503 Carry out post-mortem examination of a research animal</dc:title>
  <dc:subject>Approved</dc:subject>
  <dc:creator>Skills Impact</dc:creator>
  <cp:keywords>Release: 1</cp:keywords>
  <dc:description>Review Date: 12 April 2008</dc:description>
  <cp:lastModifiedBy>HSD_TPCMSd.prod</cp:lastModifiedBy>
  <cp:revision>3</cp:revision>
  <dcterms:created xsi:type="dcterms:W3CDTF">2018-12-11T03:05:00Z</dcterms:created>
  <dcterms:modified xsi:type="dcterms:W3CDTF">2018-12-11T03:05:00Z</dcterms:modified>
</cp:coreProperties>
</file>