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D28" w:rsidP="00110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ACMATE404 Prepare for and assist with aseptic animal surgery</w:t>
      </w:r>
      <w:r>
        <w:fldChar w:fldCharType="end"/>
      </w:r>
    </w:p>
    <w:p w:rsidR="00110D28" w:rsidP="00110D28">
      <w:pPr>
        <w:pStyle w:val="Version"/>
        <w:sectPr w:rsidSect="004C6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008" w:rsidP="004C6008">
      <w:pPr>
        <w:pStyle w:val="SuperHeading"/>
      </w:pPr>
      <w:r w:rsidRPr="004C6008">
        <w:t>Assessment Requirements for ACMATE404 Prepare for and assist with aseptic animal surgery</w:t>
      </w:r>
    </w:p>
    <w:p w:rsidR="00000000" w:rsidRPr="004C6008" w:rsidP="004C6008">
      <w:pPr>
        <w:pStyle w:val="Heading1"/>
      </w:pPr>
      <w:bookmarkStart w:id="1" w:name="O_1049446"/>
      <w:bookmarkEnd w:id="1"/>
      <w:r w:rsidRPr="004C60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6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08">
            <w:pPr>
              <w:pStyle w:val="BodyTextBold"/>
              <w:rPr>
                <w:lang w:val="en-NZ"/>
              </w:rPr>
            </w:pPr>
            <w:r w:rsidRPr="004C60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08">
            <w:pPr>
              <w:pStyle w:val="BodyTextBold"/>
              <w:rPr>
                <w:lang w:val="en-NZ"/>
              </w:rPr>
            </w:pPr>
            <w:r w:rsidRPr="004C6008">
              <w:t>Comments</w:t>
            </w:r>
          </w:p>
        </w:tc>
      </w:tr>
      <w:tr w:rsidTr="004C60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08">
            <w:pPr>
              <w:pStyle w:val="BodyText"/>
              <w:rPr>
                <w:lang w:val="en-NZ"/>
              </w:rPr>
            </w:pPr>
            <w:r w:rsidRPr="004C60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08" w:rsidP="004C6008">
            <w:pPr>
              <w:pStyle w:val="BodyText"/>
            </w:pPr>
            <w:r w:rsidRPr="004C6008">
              <w:t>This version released with ACM Animal Care and Management Training Package Version 3.0.</w:t>
            </w:r>
          </w:p>
        </w:tc>
      </w:tr>
    </w:tbl>
    <w:p w:rsidR="00000000" w:rsidRPr="004C6008" w:rsidP="004C6008">
      <w:pPr>
        <w:pStyle w:val="BodyText"/>
      </w:pPr>
    </w:p>
    <w:p w:rsidR="00000000" w:rsidRPr="004C6008" w:rsidP="004C6008">
      <w:pPr>
        <w:pStyle w:val="AllowPageBreak"/>
      </w:pPr>
    </w:p>
    <w:p w:rsidR="00000000" w:rsidRPr="004C6008" w:rsidP="004C6008">
      <w:pPr>
        <w:pStyle w:val="Heading1"/>
      </w:pPr>
      <w:bookmarkStart w:id="2" w:name="O_1049447"/>
      <w:bookmarkEnd w:id="2"/>
      <w:r w:rsidRPr="004C6008">
        <w:t>Performance Evidence</w:t>
      </w:r>
    </w:p>
    <w:p w:rsidR="00000000" w:rsidRPr="004C6008" w:rsidP="00110D28">
      <w:pPr>
        <w:pStyle w:val="BodyText"/>
      </w:pPr>
      <w:r w:rsidRPr="004C6008">
        <w:t xml:space="preserve">An individual demonstrating competency must satisfy all of the elements and performance criteria in this unit. </w:t>
      </w:r>
    </w:p>
    <w:p w:rsidR="00000000" w:rsidRPr="004C6008" w:rsidP="00110D28">
      <w:pPr>
        <w:pStyle w:val="BodyText"/>
      </w:pPr>
      <w:r w:rsidRPr="004C6008">
        <w:t>There must be evidence that the individual has:</w:t>
      </w:r>
    </w:p>
    <w:p w:rsidR="00000000" w:rsidRPr="004C6008" w:rsidP="004C6008">
      <w:pPr>
        <w:pStyle w:val="ListBullet"/>
      </w:pPr>
      <w:r w:rsidRPr="004C6008">
        <w:t>carried out the preparation of the surgical operating ar</w:t>
      </w:r>
      <w:r w:rsidRPr="004C6008">
        <w:t>ea, prepared the animal for surgery and assisted with aseptic surgery on at least three occasions</w:t>
      </w:r>
    </w:p>
    <w:p w:rsidR="00000000" w:rsidRPr="004C6008" w:rsidP="004C6008">
      <w:pPr>
        <w:pStyle w:val="ListBullet"/>
      </w:pPr>
      <w:r w:rsidRPr="004C6008">
        <w:t>completed post-surgery duties for each occasion.</w:t>
      </w:r>
    </w:p>
    <w:p w:rsidR="00000000" w:rsidRPr="004C6008" w:rsidP="004C6008">
      <w:pPr>
        <w:pStyle w:val="AllowPageBreak"/>
      </w:pPr>
    </w:p>
    <w:p w:rsidR="00000000" w:rsidRPr="004C6008" w:rsidP="004C6008">
      <w:pPr>
        <w:pStyle w:val="Heading1"/>
      </w:pPr>
      <w:bookmarkStart w:id="3" w:name="O_1049448"/>
      <w:bookmarkEnd w:id="3"/>
      <w:r w:rsidRPr="004C6008">
        <w:t>Knowledge Evidence</w:t>
      </w:r>
    </w:p>
    <w:p w:rsidR="00000000" w:rsidRPr="004C6008" w:rsidP="00110D28">
      <w:pPr>
        <w:pStyle w:val="BodyText"/>
      </w:pPr>
      <w:r w:rsidRPr="004C6008">
        <w:t>An individual must be able to demonstrate the knowledge required to perform the tasks outlined in the elements and performance criteria of this unit. This includes knowledge of:</w:t>
      </w:r>
    </w:p>
    <w:p w:rsidR="00000000" w:rsidRPr="004C6008" w:rsidP="004C6008">
      <w:pPr>
        <w:pStyle w:val="ListBullet"/>
      </w:pPr>
      <w:r w:rsidRPr="004C6008">
        <w:t>aseptic surgery procedures, including:</w:t>
      </w:r>
    </w:p>
    <w:p w:rsidR="00000000" w:rsidRPr="004C6008" w:rsidP="004C6008">
      <w:pPr>
        <w:pStyle w:val="ListBullet2"/>
      </w:pPr>
      <w:r w:rsidRPr="004C6008">
        <w:t>roles and protocols in operating area</w:t>
      </w:r>
    </w:p>
    <w:p w:rsidR="00000000" w:rsidRPr="004C6008" w:rsidP="004C6008">
      <w:pPr>
        <w:pStyle w:val="ListBullet2"/>
      </w:pPr>
      <w:r w:rsidRPr="004C6008">
        <w:t>equipment and sterile instruments</w:t>
      </w:r>
    </w:p>
    <w:p w:rsidR="00000000" w:rsidRPr="004C6008" w:rsidP="004C6008">
      <w:pPr>
        <w:pStyle w:val="ListBullet2"/>
      </w:pPr>
      <w:r w:rsidRPr="004C6008">
        <w:t>personal hygiene and scrubbing, and fitting of gloves, masks, goggles, gowns</w:t>
      </w:r>
    </w:p>
    <w:p w:rsidR="00000000" w:rsidRPr="004C6008" w:rsidP="004C6008">
      <w:pPr>
        <w:pStyle w:val="ListBullet2"/>
      </w:pPr>
      <w:r w:rsidRPr="004C6008">
        <w:t>aseptic techniques</w:t>
      </w:r>
    </w:p>
    <w:p w:rsidR="00000000" w:rsidRPr="004C6008" w:rsidP="004C6008">
      <w:pPr>
        <w:pStyle w:val="ListBullet2"/>
      </w:pPr>
      <w:r w:rsidRPr="004C6008">
        <w:t xml:space="preserve">pre-operative medications, including analgesics and antibiotics </w:t>
      </w:r>
    </w:p>
    <w:p w:rsidR="00000000" w:rsidRPr="004C6008" w:rsidP="004C6008">
      <w:pPr>
        <w:pStyle w:val="ListBullet"/>
      </w:pPr>
      <w:r w:rsidRPr="004C6008">
        <w:t>potential sources of contamination:</w:t>
      </w:r>
    </w:p>
    <w:p w:rsidR="00000000" w:rsidRPr="004C6008" w:rsidP="004C6008">
      <w:pPr>
        <w:pStyle w:val="ListBullet2"/>
      </w:pPr>
      <w:r w:rsidRPr="004C6008">
        <w:t xml:space="preserve">human and animal hair </w:t>
      </w:r>
      <w:r w:rsidRPr="004C6008">
        <w:t>and tissue</w:t>
      </w:r>
    </w:p>
    <w:p w:rsidR="00000000" w:rsidRPr="004C6008" w:rsidP="004C6008">
      <w:pPr>
        <w:pStyle w:val="ListBullet2"/>
      </w:pPr>
      <w:r w:rsidRPr="004C6008">
        <w:t>dust and environmental pollutants</w:t>
      </w:r>
    </w:p>
    <w:p w:rsidR="00000000" w:rsidRPr="004C6008" w:rsidP="004C6008">
      <w:pPr>
        <w:pStyle w:val="ListBullet"/>
      </w:pPr>
      <w:r w:rsidRPr="004C6008">
        <w:t>range of equipment and surgical packs required for surgery procedure, including:</w:t>
      </w:r>
    </w:p>
    <w:p w:rsidR="00000000" w:rsidRPr="004C6008" w:rsidP="004C6008">
      <w:pPr>
        <w:pStyle w:val="ListBullet2"/>
      </w:pPr>
      <w:r w:rsidRPr="004C6008">
        <w:t>anaesthetic equipment</w:t>
      </w:r>
    </w:p>
    <w:p w:rsidR="00000000" w:rsidRPr="004C6008" w:rsidP="004C6008">
      <w:pPr>
        <w:pStyle w:val="ListBullet2"/>
      </w:pPr>
      <w:r w:rsidRPr="004C6008">
        <w:t>bandages</w:t>
      </w:r>
    </w:p>
    <w:p w:rsidR="00000000" w:rsidRPr="004C6008" w:rsidP="004C6008">
      <w:pPr>
        <w:pStyle w:val="ListBullet2"/>
      </w:pPr>
      <w:r w:rsidRPr="004C6008">
        <w:t>disposables</w:t>
      </w:r>
    </w:p>
    <w:p w:rsidR="00000000" w:rsidRPr="004C6008" w:rsidP="004C6008">
      <w:pPr>
        <w:pStyle w:val="ListBullet2"/>
      </w:pPr>
      <w:r w:rsidRPr="004C6008">
        <w:t>drapes</w:t>
      </w:r>
    </w:p>
    <w:p w:rsidR="00000000" w:rsidRPr="004C6008" w:rsidP="004C6008">
      <w:pPr>
        <w:pStyle w:val="ListBullet2"/>
      </w:pPr>
      <w:r w:rsidRPr="004C6008">
        <w:t>surgical instruments</w:t>
      </w:r>
    </w:p>
    <w:p w:rsidR="00000000" w:rsidRPr="004C6008" w:rsidP="004C6008">
      <w:pPr>
        <w:pStyle w:val="ListBullet2"/>
      </w:pPr>
      <w:r w:rsidRPr="004C6008">
        <w:t>sutures</w:t>
      </w:r>
    </w:p>
    <w:p w:rsidR="00000000" w:rsidRPr="004C6008" w:rsidP="004C6008">
      <w:pPr>
        <w:pStyle w:val="ListBullet2"/>
      </w:pPr>
      <w:r w:rsidRPr="004C6008">
        <w:t xml:space="preserve">instrument processing and sterilisation </w:t>
      </w:r>
    </w:p>
    <w:p w:rsidR="00000000" w:rsidRPr="004C6008" w:rsidP="004C6008">
      <w:pPr>
        <w:pStyle w:val="ListBullet2"/>
      </w:pPr>
      <w:r w:rsidRPr="004C6008">
        <w:t>autoclave operation</w:t>
      </w:r>
    </w:p>
    <w:p w:rsidR="00000000" w:rsidRPr="004C6008" w:rsidP="004C6008">
      <w:pPr>
        <w:pStyle w:val="ListBullet"/>
      </w:pPr>
      <w:r w:rsidRPr="004C6008">
        <w:t>techniques for sterilising equipment and instruments</w:t>
      </w:r>
    </w:p>
    <w:p w:rsidR="00000000" w:rsidRPr="004C6008" w:rsidP="004C6008">
      <w:pPr>
        <w:pStyle w:val="ListBullet"/>
      </w:pPr>
      <w:r w:rsidRPr="004C6008">
        <w:t>safe handling and species-specific techniques used to prepare animals for surgical procedures</w:t>
      </w:r>
    </w:p>
    <w:p w:rsidR="00000000" w:rsidRPr="004C6008" w:rsidP="004C6008">
      <w:pPr>
        <w:pStyle w:val="ListBullet"/>
      </w:pPr>
      <w:r w:rsidRPr="004C6008">
        <w:t>outcome of breaches in asepsis:</w:t>
      </w:r>
    </w:p>
    <w:p w:rsidR="00000000" w:rsidRPr="004C6008" w:rsidP="004C6008">
      <w:pPr>
        <w:pStyle w:val="ListBullet2"/>
      </w:pPr>
      <w:r w:rsidRPr="004C6008">
        <w:t>wound infection</w:t>
      </w:r>
    </w:p>
    <w:p w:rsidR="00000000" w:rsidRPr="004C6008" w:rsidP="004C6008">
      <w:pPr>
        <w:pStyle w:val="ListBullet2"/>
      </w:pPr>
      <w:r w:rsidRPr="004C6008">
        <w:t>animal pain and distress</w:t>
      </w:r>
    </w:p>
    <w:p w:rsidR="00000000" w:rsidRPr="004C6008" w:rsidP="004C6008">
      <w:pPr>
        <w:pStyle w:val="ListBullet2"/>
      </w:pPr>
      <w:r w:rsidRPr="004C6008">
        <w:t>animal illness</w:t>
      </w:r>
      <w:r w:rsidRPr="004C6008">
        <w:t>, death</w:t>
      </w:r>
    </w:p>
    <w:p w:rsidR="00000000" w:rsidRPr="004C6008" w:rsidP="004C6008">
      <w:pPr>
        <w:pStyle w:val="ListBullet2"/>
      </w:pPr>
      <w:r w:rsidRPr="004C6008">
        <w:t xml:space="preserve">changes to the animal’s physiology </w:t>
      </w:r>
    </w:p>
    <w:p w:rsidR="00000000" w:rsidRPr="004C6008" w:rsidP="004C6008">
      <w:pPr>
        <w:pStyle w:val="ListBullet"/>
      </w:pPr>
      <w:r w:rsidRPr="004C6008">
        <w:t>organisational procedures for:</w:t>
      </w:r>
    </w:p>
    <w:p w:rsidR="00000000" w:rsidRPr="004C6008" w:rsidP="004C6008">
      <w:pPr>
        <w:pStyle w:val="ListBullet2"/>
      </w:pPr>
      <w:r w:rsidRPr="004C6008">
        <w:t>storage, use and disposal of chemicals and biological waste from surgical procedures</w:t>
      </w:r>
    </w:p>
    <w:p w:rsidR="00000000" w:rsidRPr="004C6008" w:rsidP="004C6008">
      <w:pPr>
        <w:pStyle w:val="ListBullet2"/>
      </w:pPr>
      <w:r w:rsidRPr="004C6008">
        <w:t xml:space="preserve">post-surgical equipment cleaning, sterilising and storage </w:t>
      </w:r>
    </w:p>
    <w:p w:rsidR="00000000" w:rsidRPr="004C6008" w:rsidP="004C6008">
      <w:pPr>
        <w:pStyle w:val="ListBullet"/>
      </w:pPr>
      <w:r w:rsidRPr="004C6008">
        <w:t>protocols, and legal and ethical considerations in documenting observations, measurements, treatments and decisions relating to animal surgery</w:t>
      </w:r>
    </w:p>
    <w:p w:rsidR="00000000" w:rsidRPr="004C6008" w:rsidP="004C6008">
      <w:pPr>
        <w:pStyle w:val="ListBullet"/>
      </w:pPr>
      <w:r w:rsidRPr="004C6008">
        <w:t>relevant aspects of state or territory legislation and regulations, including:</w:t>
      </w:r>
    </w:p>
    <w:p w:rsidR="00000000" w:rsidRPr="004C6008" w:rsidP="004C6008">
      <w:pPr>
        <w:pStyle w:val="ListBullet2"/>
      </w:pPr>
      <w:r w:rsidRPr="004C6008">
        <w:t>health and safety</w:t>
      </w:r>
    </w:p>
    <w:p w:rsidR="00000000" w:rsidRPr="004C6008" w:rsidP="004C6008">
      <w:pPr>
        <w:pStyle w:val="ListBullet2"/>
      </w:pPr>
      <w:r w:rsidRPr="004C6008">
        <w:t>biosecurity</w:t>
      </w:r>
    </w:p>
    <w:p w:rsidR="00000000" w:rsidRPr="004C6008" w:rsidP="004C6008">
      <w:pPr>
        <w:pStyle w:val="ListBullet2"/>
      </w:pPr>
      <w:r w:rsidRPr="004C6008">
        <w:t>ani</w:t>
      </w:r>
      <w:r w:rsidRPr="004C6008">
        <w:t xml:space="preserve">mal welfare </w:t>
      </w:r>
    </w:p>
    <w:p w:rsidR="00000000" w:rsidRPr="004C6008" w:rsidP="004C6008">
      <w:pPr>
        <w:pStyle w:val="ListBullet2"/>
      </w:pPr>
      <w:r w:rsidRPr="004C6008">
        <w:t>Australian Code for the Care and Use of Animals for Scientific Purposes.</w:t>
      </w:r>
    </w:p>
    <w:p w:rsidR="00000000" w:rsidRPr="004C6008" w:rsidP="004C6008">
      <w:pPr>
        <w:pStyle w:val="AllowPageBreak"/>
      </w:pPr>
    </w:p>
    <w:p w:rsidR="00000000" w:rsidRPr="004C6008" w:rsidP="004C6008">
      <w:pPr>
        <w:pStyle w:val="Heading1"/>
      </w:pPr>
      <w:bookmarkStart w:id="4" w:name="O_1049449"/>
      <w:bookmarkEnd w:id="4"/>
      <w:r w:rsidRPr="004C6008">
        <w:t>Assessment Conditions</w:t>
      </w:r>
    </w:p>
    <w:p w:rsidR="00000000" w:rsidRPr="004C6008" w:rsidP="00110D28">
      <w:pPr>
        <w:pStyle w:val="BodyText"/>
      </w:pPr>
      <w:r w:rsidRPr="004C6008">
        <w:t xml:space="preserve">Assessment of skills must take place under the following conditions: </w:t>
      </w:r>
    </w:p>
    <w:p w:rsidR="00000000" w:rsidRPr="004C6008" w:rsidP="004C6008">
      <w:pPr>
        <w:pStyle w:val="ListBullet"/>
      </w:pPr>
      <w:r w:rsidRPr="004C6008">
        <w:t>physical conditions:</w:t>
      </w:r>
    </w:p>
    <w:p w:rsidR="00000000" w:rsidRPr="004C6008" w:rsidP="004C6008">
      <w:pPr>
        <w:pStyle w:val="ListBullet2"/>
      </w:pPr>
      <w:r w:rsidRPr="004C6008">
        <w:t>skills must be demonstrated in a wor</w:t>
      </w:r>
      <w:r w:rsidRPr="004C6008">
        <w:t>kplace setting or an environment that accurately represents workplace conditions</w:t>
      </w:r>
    </w:p>
    <w:p w:rsidR="00000000" w:rsidRPr="004C6008" w:rsidP="004C6008">
      <w:pPr>
        <w:pStyle w:val="ListBullet"/>
      </w:pPr>
      <w:r w:rsidRPr="004C6008">
        <w:t>resources, equipment and materials:</w:t>
      </w:r>
    </w:p>
    <w:p w:rsidR="00000000" w:rsidRPr="004C6008" w:rsidP="004C6008">
      <w:pPr>
        <w:pStyle w:val="ListBullet2"/>
      </w:pPr>
      <w:r w:rsidRPr="004C6008">
        <w:t>live animals or appropriate simulations.</w:t>
      </w:r>
    </w:p>
    <w:p w:rsidR="00000000" w:rsidRPr="004C6008" w:rsidP="00110D28">
      <w:pPr>
        <w:pStyle w:val="BodyText"/>
      </w:pPr>
      <w:r w:rsidRPr="004C6008">
        <w:t>Assessors of this unit must satisfy the requirements for assessors in applicable vo</w:t>
      </w:r>
      <w:r w:rsidRPr="004C6008">
        <w:t>cational education and training legislation, frameworks and/or standards.</w:t>
      </w:r>
    </w:p>
    <w:p w:rsidR="00000000" w:rsidRPr="004C6008" w:rsidP="004C6008">
      <w:pPr>
        <w:pStyle w:val="Heading1"/>
      </w:pPr>
      <w:bookmarkStart w:id="5" w:name="O_1049452"/>
      <w:bookmarkEnd w:id="5"/>
      <w:r w:rsidRPr="004C6008">
        <w:t>Links</w:t>
      </w:r>
    </w:p>
    <w:p w:rsidR="00000000" w:rsidRPr="004C6008" w:rsidP="00110D28">
      <w:pPr>
        <w:pStyle w:val="BodyText"/>
      </w:pPr>
      <w:r w:rsidRPr="004C600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1566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C6008" w:rsidP="004C6008"/>
    <w:sectPr w:rsidSect="004C60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08" w:rsidRPr="00110D28" w:rsidP="00110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28" w:rsidP="004C6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D28" w:rsidP="004C6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0D28" w:rsidP="004C6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008" w:rsidRPr="00110D28" w:rsidP="00110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28" w:rsidRPr="002D2AF8" w:rsidP="004C6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ACMATE404 Prepare for and assist with aseptic animal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10D28" w:rsidP="004C6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8E9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68D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24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008"/>
  </w:style>
  <w:style w:type="character" w:customStyle="1" w:styleId="Heading1Char">
    <w:name w:val="Heading 1 Char"/>
    <w:basedOn w:val="DefaultParagraphFont"/>
    <w:link w:val="Heading1"/>
    <w:rsid w:val="004C6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0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0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0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0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6008"/>
    <w:rPr>
      <w:b/>
    </w:rPr>
  </w:style>
  <w:style w:type="character" w:customStyle="1" w:styleId="Heading2Char">
    <w:name w:val="Heading 2 Char"/>
    <w:basedOn w:val="DefaultParagraphFont"/>
    <w:link w:val="Heading2"/>
    <w:rsid w:val="004C6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0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0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008"/>
    <w:rPr>
      <w:b/>
      <w:spacing w:val="0"/>
    </w:rPr>
  </w:style>
  <w:style w:type="paragraph" w:customStyle="1" w:styleId="SuperTitle">
    <w:name w:val="SuperTitle"/>
    <w:basedOn w:val="Title"/>
    <w:rsid w:val="004C6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0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008"/>
    <w:rPr>
      <w:i/>
    </w:rPr>
  </w:style>
  <w:style w:type="paragraph" w:styleId="Caption">
    <w:name w:val="caption"/>
    <w:basedOn w:val="BodyText"/>
    <w:next w:val="Normal"/>
    <w:qFormat/>
    <w:rsid w:val="004C6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008"/>
  </w:style>
  <w:style w:type="paragraph" w:styleId="TableofFigures">
    <w:name w:val="table of figures"/>
    <w:basedOn w:val="Normal"/>
    <w:next w:val="Normal"/>
    <w:semiHidden/>
    <w:rsid w:val="004C6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0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008"/>
    <w:rPr>
      <w:rFonts w:ascii="Wingdings" w:hAnsi="Wingdings"/>
    </w:rPr>
  </w:style>
  <w:style w:type="paragraph" w:customStyle="1" w:styleId="TableHeading">
    <w:name w:val="Table Heading"/>
    <w:basedOn w:val="HeadingBase"/>
    <w:rsid w:val="004C6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008"/>
    <w:rPr>
      <w:color w:val="0033CC"/>
      <w:u w:val="none"/>
    </w:rPr>
  </w:style>
  <w:style w:type="paragraph" w:customStyle="1" w:styleId="BodyTextRight">
    <w:name w:val="Body Text Right"/>
    <w:basedOn w:val="BodyText"/>
    <w:rsid w:val="004C6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0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008"/>
    <w:rPr>
      <w:sz w:val="32"/>
    </w:rPr>
  </w:style>
  <w:style w:type="paragraph" w:customStyle="1" w:styleId="HeadingProcedure">
    <w:name w:val="Heading Procedure"/>
    <w:basedOn w:val="HeadingBase"/>
    <w:next w:val="Normal"/>
    <w:rsid w:val="004C6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008"/>
    <w:pPr>
      <w:spacing w:before="60" w:after="60"/>
    </w:pPr>
  </w:style>
  <w:style w:type="paragraph" w:styleId="ListContinue">
    <w:name w:val="List Continue"/>
    <w:basedOn w:val="List"/>
    <w:rsid w:val="004C6008"/>
    <w:pPr>
      <w:ind w:firstLine="0"/>
    </w:pPr>
  </w:style>
  <w:style w:type="paragraph" w:customStyle="1" w:styleId="ListNote">
    <w:name w:val="List Note"/>
    <w:basedOn w:val="List"/>
    <w:rsid w:val="004C6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008"/>
    <w:rPr>
      <w:rFonts w:ascii="Courier New" w:hAnsi="Courier New"/>
    </w:rPr>
  </w:style>
  <w:style w:type="paragraph" w:customStyle="1" w:styleId="NoteBullet">
    <w:name w:val="Note Bullet"/>
    <w:basedOn w:val="Note"/>
    <w:rsid w:val="004C6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0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008"/>
    <w:rPr>
      <w:b/>
      <w:smallCaps/>
    </w:rPr>
  </w:style>
  <w:style w:type="paragraph" w:customStyle="1" w:styleId="TableListNumber">
    <w:name w:val="Table List Number"/>
    <w:basedOn w:val="ListNumber"/>
    <w:rsid w:val="004C6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008"/>
    <w:pPr>
      <w:numPr>
        <w:numId w:val="9"/>
      </w:numPr>
    </w:pPr>
  </w:style>
  <w:style w:type="paragraph" w:customStyle="1" w:styleId="ListAlpha2">
    <w:name w:val="List Alpha 2"/>
    <w:basedOn w:val="List2"/>
    <w:rsid w:val="004C6008"/>
    <w:pPr>
      <w:numPr>
        <w:numId w:val="8"/>
      </w:numPr>
    </w:pPr>
  </w:style>
  <w:style w:type="paragraph" w:styleId="List2">
    <w:name w:val="List 2"/>
    <w:basedOn w:val="BodyText"/>
    <w:rsid w:val="004C6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0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0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008"/>
    <w:pPr>
      <w:numPr>
        <w:numId w:val="4"/>
      </w:numPr>
    </w:pPr>
  </w:style>
  <w:style w:type="paragraph" w:styleId="ListContinue2">
    <w:name w:val="List Continue 2"/>
    <w:basedOn w:val="List2"/>
    <w:rsid w:val="004C6008"/>
    <w:pPr>
      <w:ind w:firstLine="0"/>
    </w:pPr>
  </w:style>
  <w:style w:type="paragraph" w:styleId="ListContinue3">
    <w:name w:val="List Continue 3"/>
    <w:basedOn w:val="List3"/>
    <w:rsid w:val="004C6008"/>
    <w:pPr>
      <w:ind w:left="1021" w:firstLine="0"/>
    </w:pPr>
  </w:style>
  <w:style w:type="paragraph" w:styleId="ListContinue4">
    <w:name w:val="List Continue 4"/>
    <w:basedOn w:val="List4"/>
    <w:rsid w:val="004C6008"/>
    <w:pPr>
      <w:ind w:firstLine="0"/>
    </w:pPr>
  </w:style>
  <w:style w:type="paragraph" w:styleId="ListContinue5">
    <w:name w:val="List Continue 5"/>
    <w:basedOn w:val="List5"/>
    <w:rsid w:val="004C6008"/>
    <w:pPr>
      <w:ind w:firstLine="0"/>
    </w:pPr>
  </w:style>
  <w:style w:type="paragraph" w:styleId="ListNumber3">
    <w:name w:val="List Number 3"/>
    <w:basedOn w:val="List3"/>
    <w:rsid w:val="004C6008"/>
    <w:pPr>
      <w:numPr>
        <w:numId w:val="5"/>
      </w:numPr>
    </w:pPr>
  </w:style>
  <w:style w:type="paragraph" w:styleId="ListNumber4">
    <w:name w:val="List Number 4"/>
    <w:basedOn w:val="List4"/>
    <w:rsid w:val="004C6008"/>
    <w:pPr>
      <w:numPr>
        <w:numId w:val="6"/>
      </w:numPr>
    </w:pPr>
  </w:style>
  <w:style w:type="paragraph" w:styleId="ListNumber5">
    <w:name w:val="List Number 5"/>
    <w:basedOn w:val="List5"/>
    <w:rsid w:val="004C6008"/>
    <w:pPr>
      <w:numPr>
        <w:numId w:val="7"/>
      </w:numPr>
    </w:pPr>
  </w:style>
  <w:style w:type="paragraph" w:styleId="BlockText">
    <w:name w:val="Block Text"/>
    <w:basedOn w:val="Normal"/>
    <w:rsid w:val="004C6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008"/>
    <w:rPr>
      <w:sz w:val="16"/>
      <w:vertAlign w:val="superscript"/>
    </w:rPr>
  </w:style>
  <w:style w:type="character" w:customStyle="1" w:styleId="Symbols">
    <w:name w:val="Symbols"/>
    <w:basedOn w:val="DefaultParagraphFont"/>
    <w:rsid w:val="004C6008"/>
    <w:rPr>
      <w:rFonts w:ascii="Symbol" w:hAnsi="Symbol"/>
    </w:rPr>
  </w:style>
  <w:style w:type="character" w:customStyle="1" w:styleId="MenuOptions">
    <w:name w:val="Menu Options"/>
    <w:basedOn w:val="DefaultParagraphFont"/>
    <w:rsid w:val="004C6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008"/>
    <w:rPr>
      <w:b/>
    </w:rPr>
  </w:style>
  <w:style w:type="character" w:customStyle="1" w:styleId="Underlined">
    <w:name w:val="Underlined"/>
    <w:basedOn w:val="DefaultParagraphFont"/>
    <w:rsid w:val="004C6008"/>
    <w:rPr>
      <w:u w:val="single"/>
    </w:rPr>
  </w:style>
  <w:style w:type="paragraph" w:customStyle="1" w:styleId="TableBodyTextRight">
    <w:name w:val="Table Body Text Right"/>
    <w:basedOn w:val="TableBodyText"/>
    <w:rsid w:val="004C6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008"/>
    <w:rPr>
      <w:sz w:val="18"/>
    </w:rPr>
  </w:style>
  <w:style w:type="paragraph" w:customStyle="1" w:styleId="BodySmallRight">
    <w:name w:val="Body Small Right"/>
    <w:basedOn w:val="BodyTextRight"/>
    <w:rsid w:val="004C6008"/>
    <w:rPr>
      <w:sz w:val="18"/>
      <w:szCs w:val="18"/>
    </w:rPr>
  </w:style>
  <w:style w:type="paragraph" w:customStyle="1" w:styleId="MarginEdition">
    <w:name w:val="Margin Edition"/>
    <w:basedOn w:val="MarginNote"/>
    <w:rsid w:val="004C6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008"/>
    <w:rPr>
      <w:sz w:val="2"/>
      <w:szCs w:val="2"/>
    </w:rPr>
  </w:style>
  <w:style w:type="character" w:customStyle="1" w:styleId="Small">
    <w:name w:val="Small"/>
    <w:basedOn w:val="DefaultParagraphFont"/>
    <w:rsid w:val="004C6008"/>
    <w:rPr>
      <w:sz w:val="16"/>
    </w:rPr>
  </w:style>
  <w:style w:type="paragraph" w:customStyle="1" w:styleId="WideTable">
    <w:name w:val="Wide Table"/>
    <w:basedOn w:val="Normal"/>
    <w:rsid w:val="004C6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008"/>
  </w:style>
  <w:style w:type="paragraph" w:styleId="Quote">
    <w:name w:val="Quote"/>
    <w:basedOn w:val="Heading1"/>
    <w:link w:val="QuoteChar"/>
    <w:qFormat/>
    <w:rsid w:val="004C6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008"/>
    <w:pPr>
      <w:pageBreakBefore/>
    </w:pPr>
  </w:style>
  <w:style w:type="paragraph" w:customStyle="1" w:styleId="Border">
    <w:name w:val="Border"/>
    <w:basedOn w:val="Normal"/>
    <w:qFormat/>
    <w:rsid w:val="004C6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008"/>
    <w:rPr>
      <w:u w:val="single"/>
    </w:rPr>
  </w:style>
  <w:style w:type="character" w:customStyle="1" w:styleId="BoldandItalics">
    <w:name w:val="Bold and Italics"/>
    <w:qFormat/>
    <w:rsid w:val="004C6008"/>
    <w:rPr>
      <w:b/>
      <w:i/>
      <w:u w:val="none"/>
    </w:rPr>
  </w:style>
  <w:style w:type="paragraph" w:styleId="BalloonText">
    <w:name w:val="Balloon Text"/>
    <w:basedOn w:val="Normal"/>
    <w:link w:val="BalloonTextChar"/>
    <w:rsid w:val="004C6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0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0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0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0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2711</Characters>
  <Application>Microsoft Office Word</Application>
  <DocSecurity>0</DocSecurity>
  <Lines>79</Lines>
  <Paragraphs>69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ACMATE404 Prepare for and assist with aseptic animal surgery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