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99D" w:rsidP="00B73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ACMATE402 Conduct euthanasia of research animals</w:t>
      </w:r>
      <w:r>
        <w:fldChar w:fldCharType="end"/>
      </w:r>
    </w:p>
    <w:p w:rsidR="00B7399D" w:rsidP="00B7399D">
      <w:pPr>
        <w:pStyle w:val="Version"/>
        <w:sectPr w:rsidSect="00C97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72C" w:rsidP="00C9772C">
      <w:pPr>
        <w:pStyle w:val="SuperHeading"/>
      </w:pPr>
      <w:r w:rsidRPr="00C9772C">
        <w:t>ACMATE402 Conduct euthanasia of research animals</w:t>
      </w:r>
    </w:p>
    <w:p w:rsidR="00000000" w:rsidRPr="00C9772C" w:rsidP="00C9772C">
      <w:pPr>
        <w:pStyle w:val="Heading1"/>
      </w:pPr>
      <w:bookmarkStart w:id="1" w:name="O_1049398"/>
      <w:bookmarkEnd w:id="1"/>
      <w:r w:rsidRPr="00C977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Bold"/>
              <w:rPr>
                <w:lang w:val="en-NZ"/>
              </w:rPr>
            </w:pPr>
            <w:r w:rsidRPr="00C977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Bold"/>
              <w:rPr>
                <w:lang w:val="en-NZ"/>
              </w:rPr>
            </w:pPr>
            <w:r w:rsidRPr="00C9772C">
              <w:t>Comments</w:t>
            </w:r>
          </w:p>
        </w:tc>
      </w:tr>
      <w:tr w:rsidTr="00C9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72C" w:rsidP="00C9772C">
            <w:pPr>
              <w:pStyle w:val="BodyText"/>
            </w:pPr>
            <w:r w:rsidRPr="00C9772C">
              <w:t>This version released with ACM Animal Care and Management Training Package Version 3.0.</w:t>
            </w:r>
          </w:p>
        </w:tc>
      </w:tr>
    </w:tbl>
    <w:p w:rsidR="00000000" w:rsidRPr="00C9772C" w:rsidP="00C9772C">
      <w:pPr>
        <w:pStyle w:val="BodyText"/>
      </w:pPr>
    </w:p>
    <w:p w:rsidR="00000000" w:rsidRPr="00C9772C" w:rsidP="00C9772C">
      <w:pPr>
        <w:pStyle w:val="AllowPageBreak"/>
      </w:pPr>
    </w:p>
    <w:p w:rsidR="00000000" w:rsidRPr="00C9772C" w:rsidP="00C9772C">
      <w:pPr>
        <w:pStyle w:val="Heading1"/>
      </w:pPr>
      <w:bookmarkStart w:id="2" w:name="O_1049399"/>
      <w:bookmarkEnd w:id="2"/>
      <w:r w:rsidRPr="00C9772C">
        <w:t>Application</w:t>
      </w:r>
    </w:p>
    <w:p w:rsidR="00000000" w:rsidRPr="00C9772C" w:rsidP="00B7399D">
      <w:pPr>
        <w:pStyle w:val="BodyText"/>
      </w:pPr>
      <w:r w:rsidRPr="00C9772C">
        <w:t>This unit of competency describes the skills and knowledge required to conduc</w:t>
      </w:r>
      <w:r w:rsidRPr="00C9772C">
        <w:t>t euthanasia or humane killing of research animals using approved methods.</w:t>
      </w:r>
    </w:p>
    <w:p w:rsidR="00000000" w:rsidRPr="00C9772C" w:rsidP="00B7399D">
      <w:pPr>
        <w:pStyle w:val="BodyText"/>
      </w:pPr>
      <w:r w:rsidRPr="00C9772C">
        <w:t>The unit applies to individuals who are required to work with and care for animals used within scientific establishments for scientific purposes and teaching.</w:t>
      </w:r>
    </w:p>
    <w:p w:rsidR="00000000" w:rsidRPr="00C9772C" w:rsidP="00B7399D">
      <w:pPr>
        <w:pStyle w:val="BodyText"/>
      </w:pPr>
      <w:r w:rsidRPr="00C9772C">
        <w:t>All work practices mus</w:t>
      </w:r>
      <w:r w:rsidRPr="00C9772C">
        <w:t>t be undertaken in accordance with legislative requirements, the current Australian Code for the Care and Use of Animals for Scientific Purposes (the Code), the organisation</w:t>
      </w:r>
      <w:r>
        <w:t>’</w:t>
      </w:r>
      <w:r w:rsidRPr="00C9772C">
        <w:t>s standard operating procedures, and protocols, policies and procedures approved b</w:t>
      </w:r>
      <w:r w:rsidRPr="00C9772C">
        <w:t>y the organisation</w:t>
      </w:r>
      <w:r>
        <w:t>’</w:t>
      </w:r>
      <w:r w:rsidRPr="00C9772C">
        <w:t>s Animal Ethics Committee (AEC). Users are advised to check legislative requirements for their jurisdiction.</w:t>
      </w:r>
    </w:p>
    <w:p w:rsidR="00000000" w:rsidRPr="00C9772C" w:rsidP="00C9772C">
      <w:pPr>
        <w:pStyle w:val="Heading1"/>
      </w:pPr>
      <w:bookmarkStart w:id="3" w:name="O_1049400"/>
      <w:bookmarkEnd w:id="3"/>
      <w:r w:rsidRPr="00C9772C">
        <w:t>Pre-requisite Unit</w:t>
      </w:r>
    </w:p>
    <w:p w:rsidR="00000000" w:rsidRPr="00C9772C" w:rsidP="00B7399D">
      <w:pPr>
        <w:pStyle w:val="BodyText"/>
      </w:pPr>
      <w:r w:rsidRPr="00C9772C">
        <w:t>Nil</w:t>
      </w:r>
    </w:p>
    <w:p w:rsidR="00000000" w:rsidRPr="00C9772C" w:rsidP="00C9772C">
      <w:pPr>
        <w:pStyle w:val="Heading1"/>
      </w:pPr>
      <w:bookmarkStart w:id="4" w:name="O_1049402"/>
      <w:bookmarkEnd w:id="4"/>
      <w:r w:rsidRPr="00C9772C">
        <w:t>Unit Sector</w:t>
      </w:r>
    </w:p>
    <w:p w:rsidR="00000000" w:rsidRPr="00C9772C" w:rsidP="00B7399D">
      <w:pPr>
        <w:pStyle w:val="BodyText"/>
      </w:pPr>
      <w:r w:rsidRPr="00C9772C">
        <w:t>Animal Technology (ATE)</w:t>
      </w:r>
    </w:p>
    <w:p w:rsidR="00000000" w:rsidRPr="00C9772C" w:rsidP="00C9772C">
      <w:pPr>
        <w:pStyle w:val="Heading1"/>
      </w:pPr>
      <w:bookmarkStart w:id="5" w:name="O_1049403"/>
      <w:bookmarkEnd w:id="5"/>
      <w:r w:rsidRPr="00C977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Bold"/>
              <w:rPr>
                <w:lang w:val="en-NZ"/>
              </w:rPr>
            </w:pPr>
            <w:r w:rsidRPr="00C977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Bold"/>
              <w:rPr>
                <w:lang w:val="en-NZ"/>
              </w:rPr>
            </w:pPr>
            <w:r w:rsidRPr="00C9772C">
              <w:t>Performance Criteria</w:t>
            </w:r>
          </w:p>
        </w:tc>
      </w:tr>
      <w:tr w:rsidTr="00B7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72C" w:rsidP="00C9772C">
            <w:pPr>
              <w:pStyle w:val="BodyText"/>
            </w:pPr>
            <w:r w:rsidRPr="00C977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t>1. Prepare to conduct euthanasia or humane killing o</w:t>
            </w:r>
            <w:r w:rsidRPr="00C9772C">
              <w:t>f research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72C" w:rsidP="00C9772C">
            <w:pPr>
              <w:pStyle w:val="BodyText"/>
            </w:pPr>
            <w:r w:rsidRPr="00C9772C">
              <w:t>1.1 Identify, justify and report need for euthanasia or humane killing</w:t>
            </w:r>
          </w:p>
          <w:p w:rsidR="00000000" w:rsidRPr="00C9772C" w:rsidP="00C9772C">
            <w:pPr>
              <w:pStyle w:val="BodyText"/>
            </w:pPr>
            <w:r w:rsidRPr="00C9772C">
              <w:t>1.2 Identify and use AEC approved method appropriate for species and research outcomes</w:t>
            </w:r>
          </w:p>
          <w:p w:rsidR="00000000" w:rsidRPr="00C9772C" w:rsidP="00C9772C">
            <w:pPr>
              <w:pStyle w:val="BodyText"/>
            </w:pPr>
            <w:r w:rsidRPr="00C9772C">
              <w:t>1.3 Prepare equipment and materials for euthanasia or humane killing</w:t>
            </w:r>
          </w:p>
          <w:p w:rsidR="00000000" w:rsidRPr="00C9772C" w:rsidP="00C9772C">
            <w:pPr>
              <w:pStyle w:val="BodyText"/>
            </w:pPr>
            <w:r w:rsidRPr="00C9772C">
              <w:t xml:space="preserve">1.4 Select </w:t>
            </w:r>
            <w:r w:rsidRPr="00C9772C">
              <w:t>location for the euthanasia or humane killing</w:t>
            </w:r>
          </w:p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t>1.5 Identify hazards associated with euthanasia or humane killing according to health and safety procedures and guidelines</w:t>
            </w:r>
          </w:p>
        </w:tc>
      </w:tr>
      <w:tr w:rsidTr="00B7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t>2. Carry out the euthanasia or humane killing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72C" w:rsidP="00C9772C">
            <w:pPr>
              <w:pStyle w:val="BodyText"/>
            </w:pPr>
            <w:r w:rsidRPr="00C9772C">
              <w:t>2.1 Use personal protective and safety equipment according to health and safety policies and statutory requirements</w:t>
            </w:r>
          </w:p>
          <w:p w:rsidR="00000000" w:rsidRPr="00C9772C" w:rsidP="00C9772C">
            <w:pPr>
              <w:pStyle w:val="BodyText"/>
            </w:pPr>
            <w:r w:rsidRPr="00C9772C">
              <w:t>2.2 Handle and transport equipment according to statutory requirements and industry practices</w:t>
            </w:r>
          </w:p>
          <w:p w:rsidR="00000000" w:rsidRPr="00C9772C" w:rsidP="00C9772C">
            <w:pPr>
              <w:pStyle w:val="BodyText"/>
            </w:pPr>
            <w:r w:rsidRPr="00C9772C">
              <w:t>2.3 Handle and restrain animals to minimise pa</w:t>
            </w:r>
            <w:r w:rsidRPr="00C9772C">
              <w:t>in, distress and risk of injury to the animals or personnel according to animal welfare, ethical and legal requirements</w:t>
            </w:r>
          </w:p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t xml:space="preserve">2.4 Apply approved euthanasia or humane killing method according to the requirements of the task </w:t>
            </w:r>
          </w:p>
        </w:tc>
      </w:tr>
      <w:tr w:rsidTr="00B7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t xml:space="preserve">3. Complete the euthanasia or humane </w:t>
            </w:r>
            <w:r w:rsidRPr="00C9772C">
              <w:t>killing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72C" w:rsidP="00C9772C">
            <w:pPr>
              <w:pStyle w:val="BodyText"/>
            </w:pPr>
            <w:r w:rsidRPr="00C9772C">
              <w:t>3.1 Confirm animal deaths according to approved indicators of death</w:t>
            </w:r>
          </w:p>
          <w:p w:rsidR="00000000" w:rsidRPr="00C9772C" w:rsidP="00C9772C">
            <w:pPr>
              <w:pStyle w:val="BodyText"/>
            </w:pPr>
            <w:r w:rsidRPr="00C9772C">
              <w:t>3.2 Handle and move carcasses that are required for research or post-mortem examination according to organisational experimental and health and safety requirements</w:t>
            </w:r>
          </w:p>
          <w:p w:rsidR="00000000" w:rsidRPr="00C9772C" w:rsidP="00C9772C">
            <w:pPr>
              <w:pStyle w:val="BodyText"/>
            </w:pPr>
            <w:r w:rsidRPr="00C9772C">
              <w:t>3.3 S</w:t>
            </w:r>
            <w:r w:rsidRPr="00C9772C">
              <w:t>tore or dispose of samples, waste and animal carcasses according to health and safety organisational procedures and legislative requirements</w:t>
            </w:r>
          </w:p>
          <w:p w:rsidR="00000000" w:rsidRPr="00C9772C" w:rsidP="00C9772C">
            <w:pPr>
              <w:pStyle w:val="BodyText"/>
            </w:pPr>
            <w:r w:rsidRPr="00C9772C">
              <w:t>3.4 Decontaminate or clean, and store or dispose of, equipment, materials and drugs</w:t>
            </w:r>
          </w:p>
          <w:p w:rsidR="00000000" w:rsidRPr="00C9772C" w:rsidP="00C9772C">
            <w:pPr>
              <w:pStyle w:val="BodyText"/>
            </w:pPr>
            <w:r w:rsidRPr="00C9772C">
              <w:t xml:space="preserve">3.5 Update records relating to </w:t>
            </w:r>
            <w:r w:rsidRPr="00C9772C">
              <w:t>animals that have been euthanased or humanely killed according to workplace policies and procedures</w:t>
            </w:r>
          </w:p>
        </w:tc>
      </w:tr>
    </w:tbl>
    <w:p w:rsidR="00000000" w:rsidRPr="00C9772C" w:rsidP="00C9772C">
      <w:pPr>
        <w:pStyle w:val="BodyText"/>
      </w:pPr>
    </w:p>
    <w:p w:rsidR="00000000" w:rsidRPr="00C9772C" w:rsidP="00C9772C">
      <w:pPr>
        <w:pStyle w:val="AllowPageBreak"/>
      </w:pPr>
    </w:p>
    <w:p w:rsidR="00000000" w:rsidRPr="00C9772C" w:rsidP="00C9772C">
      <w:pPr>
        <w:pStyle w:val="Heading1"/>
      </w:pPr>
      <w:bookmarkStart w:id="6" w:name="O_1049404"/>
      <w:bookmarkEnd w:id="6"/>
      <w:r w:rsidRPr="00C9772C">
        <w:t>Foundation Skills</w:t>
      </w:r>
    </w:p>
    <w:p w:rsidR="00000000" w:rsidRPr="00B7399D" w:rsidP="00B7399D">
      <w:pPr>
        <w:pStyle w:val="BodyText"/>
        <w:rPr>
          <w:i/>
        </w:rPr>
      </w:pPr>
      <w:r w:rsidRPr="00B7399D">
        <w:rPr>
          <w:rStyle w:val="Emphasis"/>
        </w:rPr>
        <w:t>This section describes those language, literacy, numeracy and employment skills that are essential for performance in</w:t>
      </w:r>
      <w:r w:rsidRPr="00B7399D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Bold"/>
              <w:rPr>
                <w:lang w:val="en-NZ"/>
              </w:rPr>
            </w:pPr>
            <w:r w:rsidRPr="00C977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Bold"/>
              <w:rPr>
                <w:lang w:val="en-NZ"/>
              </w:rPr>
            </w:pPr>
            <w:r w:rsidRPr="00C9772C">
              <w:t>Description</w:t>
            </w:r>
          </w:p>
        </w:tc>
      </w:tr>
      <w:tr w:rsidTr="00C9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ListBullet"/>
              <w:rPr>
                <w:lang w:val="en-NZ"/>
              </w:rPr>
            </w:pPr>
            <w:r w:rsidRPr="00C9772C">
              <w:t>Calculate solutions, dilutions, body weights and dose rates</w:t>
            </w:r>
          </w:p>
        </w:tc>
      </w:tr>
      <w:tr w:rsidTr="00C9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72C" w:rsidP="00C9772C">
            <w:pPr>
              <w:pStyle w:val="ListBullet"/>
            </w:pPr>
            <w:r w:rsidRPr="00C9772C">
              <w:t>Listen carefully to instructions from supervisor and ask clarifying questions as required</w:t>
            </w:r>
          </w:p>
        </w:tc>
      </w:tr>
    </w:tbl>
    <w:p w:rsidR="00000000" w:rsidRPr="00C9772C" w:rsidP="00C9772C">
      <w:pPr>
        <w:pStyle w:val="BodyText"/>
      </w:pPr>
    </w:p>
    <w:p w:rsidR="00000000" w:rsidRPr="00C9772C" w:rsidP="00C9772C">
      <w:pPr>
        <w:pStyle w:val="AllowPageBreak"/>
      </w:pPr>
    </w:p>
    <w:p w:rsidR="00000000" w:rsidRPr="00C9772C" w:rsidP="00C9772C">
      <w:pPr>
        <w:pStyle w:val="Heading1"/>
      </w:pPr>
      <w:bookmarkStart w:id="7" w:name="O_1049406"/>
      <w:bookmarkEnd w:id="7"/>
      <w:r w:rsidRPr="00C9772C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C977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Bold"/>
              <w:rPr>
                <w:lang w:val="en-NZ"/>
              </w:rPr>
            </w:pPr>
            <w:r w:rsidRPr="00C9772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Bold"/>
              <w:rPr>
                <w:lang w:val="en-NZ"/>
              </w:rPr>
            </w:pPr>
            <w:r w:rsidRPr="00C9772C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Bold"/>
              <w:rPr>
                <w:lang w:val="en-NZ"/>
              </w:rPr>
            </w:pPr>
            <w:r w:rsidRPr="00C977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Bold"/>
              <w:rPr>
                <w:lang w:val="en-NZ"/>
              </w:rPr>
            </w:pPr>
            <w:r w:rsidRPr="00C9772C">
              <w:t>Equivalence status</w:t>
            </w:r>
          </w:p>
        </w:tc>
      </w:tr>
      <w:tr w:rsidTr="00C977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t xml:space="preserve">ACMATE402 Conduct euthanasia of research animals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t xml:space="preserve">ACMATE305 Conduct euthanasia of research animals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72C" w:rsidP="00C9772C">
            <w:pPr>
              <w:pStyle w:val="BodyText"/>
            </w:pPr>
            <w:r w:rsidRPr="00C9772C">
              <w:t xml:space="preserve">Unit recoded to better reflect level of activity and responsibility               </w:t>
            </w:r>
          </w:p>
          <w:p w:rsidR="00000000" w:rsidRPr="00C9772C" w:rsidP="00C9772C">
            <w:pPr>
              <w:pStyle w:val="BodyText"/>
            </w:pPr>
            <w:r w:rsidRPr="00C9772C">
              <w:t xml:space="preserve">Minor changes to performance criteria and knowledge evidence for clarity </w:t>
            </w:r>
            <w:r w:rsidRPr="00C9772C">
              <w:t xml:space="preserve">and use of correct terminology                     </w:t>
            </w:r>
          </w:p>
          <w:p w:rsidR="00000000" w:rsidRPr="00C9772C" w:rsidP="00C9772C">
            <w:pPr>
              <w:pStyle w:val="BodyText"/>
            </w:pPr>
            <w:r w:rsidRPr="00C9772C">
              <w:t xml:space="preserve">PC 1.6 removed                </w:t>
            </w:r>
          </w:p>
          <w:p w:rsidR="00000000" w:rsidP="00C9772C">
            <w:pPr>
              <w:pStyle w:val="BodyText"/>
              <w:rPr>
                <w:lang w:val="en-NZ"/>
              </w:rPr>
            </w:pPr>
            <w:r w:rsidRPr="00C9772C">
              <w:t>Revised performance evidence to reduce duplication with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72C" w:rsidP="00C9772C">
            <w:pPr>
              <w:pStyle w:val="BodyText"/>
            </w:pPr>
            <w:r w:rsidRPr="00C9772C">
              <w:t>Equivalent unit</w:t>
            </w:r>
          </w:p>
        </w:tc>
      </w:tr>
    </w:tbl>
    <w:p w:rsidR="00000000" w:rsidRPr="00C9772C" w:rsidP="00C9772C">
      <w:pPr>
        <w:pStyle w:val="BodyText"/>
      </w:pPr>
    </w:p>
    <w:p w:rsidR="00000000" w:rsidRPr="00C9772C" w:rsidP="00C9772C">
      <w:pPr>
        <w:pStyle w:val="AllowPageBreak"/>
      </w:pPr>
    </w:p>
    <w:p w:rsidR="00000000" w:rsidRPr="00C9772C" w:rsidP="00C9772C">
      <w:pPr>
        <w:pStyle w:val="Heading1"/>
      </w:pPr>
      <w:bookmarkStart w:id="8" w:name="O_1049413"/>
      <w:bookmarkEnd w:id="8"/>
      <w:r w:rsidRPr="00C9772C">
        <w:t>Links</w:t>
      </w:r>
    </w:p>
    <w:p w:rsidR="00000000" w:rsidRPr="00C9772C" w:rsidP="00B7399D">
      <w:pPr>
        <w:pStyle w:val="BodyText"/>
      </w:pPr>
      <w:r w:rsidRPr="00C9772C">
        <w:t>Companion Volumes, including Implementation Guides, a</w:t>
      </w:r>
      <w:r w:rsidRPr="00C9772C">
        <w:t xml:space="preserve">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215F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9772C" w:rsidP="00C9772C"/>
    <w:sectPr w:rsidSect="00C977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2C" w:rsidRPr="00B7399D" w:rsidP="00B73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9D" w:rsidP="00C97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99D" w:rsidP="00C97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399D" w:rsidP="00C97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72C" w:rsidRPr="00B7399D" w:rsidP="00B73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9D" w:rsidRPr="002D2AF8" w:rsidP="00C97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ACMATE402 Conduct euthanasia of research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7399D" w:rsidP="00C97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BE6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483D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72C"/>
  </w:style>
  <w:style w:type="character" w:customStyle="1" w:styleId="Heading1Char">
    <w:name w:val="Heading 1 Char"/>
    <w:basedOn w:val="DefaultParagraphFont"/>
    <w:link w:val="Heading1"/>
    <w:rsid w:val="00C97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7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72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9772C"/>
    <w:rPr>
      <w:i/>
    </w:rPr>
  </w:style>
  <w:style w:type="paragraph" w:customStyle="1" w:styleId="SuperHeading">
    <w:name w:val="SuperHeading"/>
    <w:basedOn w:val="Normal"/>
    <w:rsid w:val="00C97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772C"/>
    <w:rPr>
      <w:b/>
    </w:rPr>
  </w:style>
  <w:style w:type="character" w:customStyle="1" w:styleId="Heading2Char">
    <w:name w:val="Heading 2 Char"/>
    <w:basedOn w:val="DefaultParagraphFont"/>
    <w:link w:val="Heading2"/>
    <w:rsid w:val="00C97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7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7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772C"/>
    <w:rPr>
      <w:b/>
      <w:spacing w:val="0"/>
    </w:rPr>
  </w:style>
  <w:style w:type="paragraph" w:customStyle="1" w:styleId="SuperTitle">
    <w:name w:val="SuperTitle"/>
    <w:basedOn w:val="Title"/>
    <w:rsid w:val="00C97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7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7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72C"/>
  </w:style>
  <w:style w:type="paragraph" w:styleId="TableofFigures">
    <w:name w:val="table of figures"/>
    <w:basedOn w:val="Normal"/>
    <w:next w:val="Normal"/>
    <w:semiHidden/>
    <w:rsid w:val="00C97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7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772C"/>
    <w:rPr>
      <w:rFonts w:ascii="Wingdings" w:hAnsi="Wingdings"/>
    </w:rPr>
  </w:style>
  <w:style w:type="paragraph" w:customStyle="1" w:styleId="TableHeading">
    <w:name w:val="Table Heading"/>
    <w:basedOn w:val="HeadingBase"/>
    <w:rsid w:val="00C97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72C"/>
    <w:rPr>
      <w:color w:val="0033CC"/>
      <w:u w:val="none"/>
    </w:rPr>
  </w:style>
  <w:style w:type="paragraph" w:customStyle="1" w:styleId="BodyTextRight">
    <w:name w:val="Body Text Right"/>
    <w:basedOn w:val="BodyText"/>
    <w:rsid w:val="00C97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7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72C"/>
    <w:rPr>
      <w:sz w:val="32"/>
    </w:rPr>
  </w:style>
  <w:style w:type="paragraph" w:customStyle="1" w:styleId="HeadingProcedure">
    <w:name w:val="Heading Procedure"/>
    <w:basedOn w:val="HeadingBase"/>
    <w:next w:val="Normal"/>
    <w:rsid w:val="00C97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72C"/>
    <w:pPr>
      <w:spacing w:before="60" w:after="60"/>
    </w:pPr>
  </w:style>
  <w:style w:type="paragraph" w:styleId="ListContinue">
    <w:name w:val="List Continue"/>
    <w:basedOn w:val="List"/>
    <w:rsid w:val="00C9772C"/>
    <w:pPr>
      <w:ind w:firstLine="0"/>
    </w:pPr>
  </w:style>
  <w:style w:type="paragraph" w:customStyle="1" w:styleId="ListNote">
    <w:name w:val="List Note"/>
    <w:basedOn w:val="List"/>
    <w:rsid w:val="00C97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72C"/>
    <w:rPr>
      <w:rFonts w:ascii="Courier New" w:hAnsi="Courier New"/>
    </w:rPr>
  </w:style>
  <w:style w:type="paragraph" w:customStyle="1" w:styleId="NoteBullet">
    <w:name w:val="Note Bullet"/>
    <w:basedOn w:val="Note"/>
    <w:rsid w:val="00C97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7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7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72C"/>
    <w:rPr>
      <w:b/>
      <w:smallCaps/>
    </w:rPr>
  </w:style>
  <w:style w:type="paragraph" w:customStyle="1" w:styleId="TableListNumber">
    <w:name w:val="Table List Number"/>
    <w:basedOn w:val="ListNumber"/>
    <w:rsid w:val="00C97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72C"/>
    <w:pPr>
      <w:numPr>
        <w:numId w:val="8"/>
      </w:numPr>
    </w:pPr>
  </w:style>
  <w:style w:type="paragraph" w:customStyle="1" w:styleId="ListAlpha2">
    <w:name w:val="List Alpha 2"/>
    <w:basedOn w:val="List2"/>
    <w:rsid w:val="00C9772C"/>
    <w:pPr>
      <w:numPr>
        <w:numId w:val="7"/>
      </w:numPr>
    </w:pPr>
  </w:style>
  <w:style w:type="paragraph" w:styleId="List2">
    <w:name w:val="List 2"/>
    <w:basedOn w:val="BodyText"/>
    <w:rsid w:val="00C97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7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7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772C"/>
    <w:pPr>
      <w:numPr>
        <w:numId w:val="3"/>
      </w:numPr>
    </w:pPr>
  </w:style>
  <w:style w:type="paragraph" w:styleId="ListContinue2">
    <w:name w:val="List Continue 2"/>
    <w:basedOn w:val="List2"/>
    <w:rsid w:val="00C9772C"/>
    <w:pPr>
      <w:ind w:firstLine="0"/>
    </w:pPr>
  </w:style>
  <w:style w:type="paragraph" w:styleId="ListContinue3">
    <w:name w:val="List Continue 3"/>
    <w:basedOn w:val="List3"/>
    <w:rsid w:val="00C9772C"/>
    <w:pPr>
      <w:ind w:left="1021" w:firstLine="0"/>
    </w:pPr>
  </w:style>
  <w:style w:type="paragraph" w:styleId="ListContinue4">
    <w:name w:val="List Continue 4"/>
    <w:basedOn w:val="List4"/>
    <w:rsid w:val="00C9772C"/>
    <w:pPr>
      <w:ind w:firstLine="0"/>
    </w:pPr>
  </w:style>
  <w:style w:type="paragraph" w:styleId="ListContinue5">
    <w:name w:val="List Continue 5"/>
    <w:basedOn w:val="List5"/>
    <w:rsid w:val="00C9772C"/>
    <w:pPr>
      <w:ind w:firstLine="0"/>
    </w:pPr>
  </w:style>
  <w:style w:type="paragraph" w:styleId="ListNumber3">
    <w:name w:val="List Number 3"/>
    <w:basedOn w:val="List3"/>
    <w:rsid w:val="00C9772C"/>
    <w:pPr>
      <w:numPr>
        <w:numId w:val="4"/>
      </w:numPr>
    </w:pPr>
  </w:style>
  <w:style w:type="paragraph" w:styleId="ListNumber4">
    <w:name w:val="List Number 4"/>
    <w:basedOn w:val="List4"/>
    <w:rsid w:val="00C9772C"/>
    <w:pPr>
      <w:numPr>
        <w:numId w:val="5"/>
      </w:numPr>
    </w:pPr>
  </w:style>
  <w:style w:type="paragraph" w:styleId="ListNumber5">
    <w:name w:val="List Number 5"/>
    <w:basedOn w:val="List5"/>
    <w:rsid w:val="00C9772C"/>
    <w:pPr>
      <w:numPr>
        <w:numId w:val="6"/>
      </w:numPr>
    </w:pPr>
  </w:style>
  <w:style w:type="paragraph" w:styleId="BlockText">
    <w:name w:val="Block Text"/>
    <w:basedOn w:val="Normal"/>
    <w:rsid w:val="00C97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72C"/>
    <w:rPr>
      <w:sz w:val="16"/>
      <w:vertAlign w:val="superscript"/>
    </w:rPr>
  </w:style>
  <w:style w:type="character" w:customStyle="1" w:styleId="Symbols">
    <w:name w:val="Symbols"/>
    <w:basedOn w:val="DefaultParagraphFont"/>
    <w:rsid w:val="00C9772C"/>
    <w:rPr>
      <w:rFonts w:ascii="Symbol" w:hAnsi="Symbol"/>
    </w:rPr>
  </w:style>
  <w:style w:type="character" w:customStyle="1" w:styleId="MenuOptions">
    <w:name w:val="Menu Options"/>
    <w:basedOn w:val="DefaultParagraphFont"/>
    <w:rsid w:val="00C97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72C"/>
    <w:rPr>
      <w:b/>
    </w:rPr>
  </w:style>
  <w:style w:type="character" w:customStyle="1" w:styleId="Underlined">
    <w:name w:val="Underlined"/>
    <w:basedOn w:val="DefaultParagraphFont"/>
    <w:rsid w:val="00C9772C"/>
    <w:rPr>
      <w:u w:val="single"/>
    </w:rPr>
  </w:style>
  <w:style w:type="paragraph" w:customStyle="1" w:styleId="TableBodyTextRight">
    <w:name w:val="Table Body Text Right"/>
    <w:basedOn w:val="TableBodyText"/>
    <w:rsid w:val="00C97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72C"/>
    <w:rPr>
      <w:sz w:val="18"/>
    </w:rPr>
  </w:style>
  <w:style w:type="paragraph" w:customStyle="1" w:styleId="BodySmallRight">
    <w:name w:val="Body Small Right"/>
    <w:basedOn w:val="BodyTextRight"/>
    <w:rsid w:val="00C9772C"/>
    <w:rPr>
      <w:sz w:val="18"/>
      <w:szCs w:val="18"/>
    </w:rPr>
  </w:style>
  <w:style w:type="paragraph" w:customStyle="1" w:styleId="MarginEdition">
    <w:name w:val="Margin Edition"/>
    <w:basedOn w:val="MarginNote"/>
    <w:rsid w:val="00C97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72C"/>
    <w:rPr>
      <w:sz w:val="2"/>
      <w:szCs w:val="2"/>
    </w:rPr>
  </w:style>
  <w:style w:type="character" w:customStyle="1" w:styleId="Small">
    <w:name w:val="Small"/>
    <w:basedOn w:val="DefaultParagraphFont"/>
    <w:rsid w:val="00C9772C"/>
    <w:rPr>
      <w:sz w:val="16"/>
    </w:rPr>
  </w:style>
  <w:style w:type="paragraph" w:customStyle="1" w:styleId="WideTable">
    <w:name w:val="Wide Table"/>
    <w:basedOn w:val="Normal"/>
    <w:rsid w:val="00C97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72C"/>
  </w:style>
  <w:style w:type="paragraph" w:styleId="Quote">
    <w:name w:val="Quote"/>
    <w:basedOn w:val="Heading1"/>
    <w:link w:val="QuoteChar"/>
    <w:qFormat/>
    <w:rsid w:val="00C97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72C"/>
    <w:pPr>
      <w:pageBreakBefore/>
    </w:pPr>
  </w:style>
  <w:style w:type="paragraph" w:customStyle="1" w:styleId="Border">
    <w:name w:val="Border"/>
    <w:basedOn w:val="Normal"/>
    <w:qFormat/>
    <w:rsid w:val="00C97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72C"/>
    <w:rPr>
      <w:u w:val="single"/>
    </w:rPr>
  </w:style>
  <w:style w:type="character" w:customStyle="1" w:styleId="BoldandItalics">
    <w:name w:val="Bold and Italics"/>
    <w:qFormat/>
    <w:rsid w:val="00C9772C"/>
    <w:rPr>
      <w:b/>
      <w:i/>
      <w:u w:val="none"/>
    </w:rPr>
  </w:style>
  <w:style w:type="paragraph" w:styleId="BalloonText">
    <w:name w:val="Balloon Text"/>
    <w:basedOn w:val="Normal"/>
    <w:link w:val="BalloonTextChar"/>
    <w:rsid w:val="00C97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7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3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3629</Characters>
  <Application>Microsoft Office Word</Application>
  <DocSecurity>0</DocSecurity>
  <Lines>129</Lines>
  <Paragraphs>73</Paragraphs>
  <ScaleCrop>false</ScaleCrop>
  <Company>Author-it Software Corporation Ltd.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ACMATE402 Conduct euthanasia of research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2022-07-16T08:26:00Z</dcterms:created>
  <dcterms:modified xsi:type="dcterms:W3CDTF">2022-07-16T08:26:00Z</dcterms:modified>
</cp:coreProperties>
</file>