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21E" w:rsidP="00BD1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ACMATE304 Conduct non-surgical procedures on animals</w:t>
      </w:r>
      <w:r>
        <w:fldChar w:fldCharType="end"/>
      </w:r>
    </w:p>
    <w:p w:rsidR="00BD121E" w:rsidP="00BD121E">
      <w:pPr>
        <w:pStyle w:val="Version"/>
        <w:sectPr w:rsidSect="00051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E31" w:rsidP="00051E31">
      <w:pPr>
        <w:pStyle w:val="SuperHeading"/>
      </w:pPr>
      <w:r w:rsidRPr="00051E31">
        <w:t>ACMATE304 Conduct non-surgical procedures on animals</w:t>
      </w:r>
    </w:p>
    <w:p w:rsidR="00000000" w:rsidRPr="00051E31" w:rsidP="00051E31">
      <w:pPr>
        <w:pStyle w:val="Heading1"/>
      </w:pPr>
      <w:bookmarkStart w:id="1" w:name="O_855773"/>
      <w:bookmarkEnd w:id="1"/>
      <w:r w:rsidRPr="00051E3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rPr>
                <w:rStyle w:val="SpecialBold"/>
              </w:rPr>
              <w:t>Comments</w:t>
            </w:r>
          </w:p>
        </w:tc>
      </w:tr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This version released with ACM Animal Care and Management Training Package Version 1.0.</w:t>
            </w:r>
          </w:p>
        </w:tc>
      </w:tr>
    </w:tbl>
    <w:p w:rsidR="00000000" w:rsidRPr="00051E31" w:rsidP="00051E31">
      <w:pPr>
        <w:pStyle w:val="BodyText"/>
      </w:pPr>
    </w:p>
    <w:p w:rsidR="00000000" w:rsidRPr="00051E31" w:rsidP="00051E31">
      <w:pPr>
        <w:pStyle w:val="AllowPageBreak"/>
      </w:pPr>
    </w:p>
    <w:p w:rsidR="00000000" w:rsidRPr="00051E31" w:rsidP="00051E31">
      <w:pPr>
        <w:pStyle w:val="Heading1"/>
      </w:pPr>
      <w:bookmarkStart w:id="2" w:name="O_855774"/>
      <w:bookmarkEnd w:id="2"/>
      <w:r w:rsidRPr="00051E31">
        <w:t>Application</w:t>
      </w:r>
    </w:p>
    <w:p w:rsidR="00000000" w:rsidRPr="00051E31" w:rsidP="00BD121E">
      <w:pPr>
        <w:pStyle w:val="BodyText"/>
      </w:pPr>
      <w:r w:rsidRPr="00051E31">
        <w:t>This unit of competency describes the skills and knowledge required to administe</w:t>
      </w:r>
      <w:r w:rsidRPr="00051E31">
        <w:t>r substances and take tissue and fluid samples for clinical trial project research purposes.</w:t>
      </w:r>
    </w:p>
    <w:p w:rsidR="00000000" w:rsidRPr="00051E31" w:rsidP="00BD121E">
      <w:pPr>
        <w:pStyle w:val="BodyText"/>
      </w:pPr>
      <w:r w:rsidRPr="00051E31">
        <w:t>The unit applies to individuals who work as junior or assistant level animal technicians working under supervision of a senior or more experienced staff member.</w:t>
      </w:r>
    </w:p>
    <w:p w:rsidR="00000000" w:rsidRPr="00051E31" w:rsidP="00BD121E">
      <w:pPr>
        <w:pStyle w:val="BodyText"/>
      </w:pPr>
      <w:r w:rsidRPr="00051E31">
        <w:t>No occupational licensing, legislative or certification requirements apply to this unit at the time of publication.</w:t>
      </w:r>
    </w:p>
    <w:p w:rsidR="00BD121E" w:rsidP="00BD121E">
      <w:pPr>
        <w:pStyle w:val="BodyText"/>
      </w:pPr>
      <w:r w:rsidRPr="00051E31">
        <w:t xml:space="preserve">NOTE: The terms </w:t>
      </w:r>
      <w:r>
        <w:t>‘</w:t>
      </w:r>
      <w:r w:rsidRPr="00051E31">
        <w:t>occupational health and safety</w:t>
      </w:r>
      <w:r>
        <w:t>’</w:t>
      </w:r>
      <w:r w:rsidRPr="00051E31">
        <w:t xml:space="preserve"> (OHS) and </w:t>
      </w:r>
      <w:r>
        <w:t>‘</w:t>
      </w:r>
      <w:r w:rsidRPr="00051E31">
        <w:t>work health and safety</w:t>
      </w:r>
      <w:r>
        <w:t>’</w:t>
      </w:r>
      <w:r w:rsidRPr="00051E31">
        <w:t xml:space="preserve"> (WHS) generally have the same meaning in the workplace.</w:t>
      </w:r>
      <w:r w:rsidRPr="00051E31">
        <w:t xml:space="preserve"> In jurisdictions where the national model WHS legislation has not been implemented, RTOs must contextualise the unit of competency by referring to current OHS legislative requirements.</w:t>
      </w:r>
    </w:p>
    <w:p w:rsidR="00000000" w:rsidRPr="00051E31" w:rsidP="00051E31">
      <w:pPr>
        <w:pStyle w:val="Heading1"/>
      </w:pPr>
      <w:bookmarkStart w:id="3" w:name="O_855775"/>
      <w:bookmarkEnd w:id="3"/>
      <w:r w:rsidRPr="00051E31">
        <w:t>Pre-requisite Unit</w:t>
      </w:r>
    </w:p>
    <w:p w:rsidR="00000000" w:rsidRPr="00051E31" w:rsidP="00BD121E">
      <w:pPr>
        <w:pStyle w:val="BodyText"/>
      </w:pPr>
      <w:r w:rsidRPr="00051E31">
        <w:t>Nil</w:t>
      </w:r>
    </w:p>
    <w:p w:rsidR="00000000" w:rsidRPr="00051E31" w:rsidP="00051E31">
      <w:pPr>
        <w:pStyle w:val="Heading1"/>
      </w:pPr>
      <w:bookmarkStart w:id="4" w:name="O_855777"/>
      <w:bookmarkEnd w:id="4"/>
      <w:r w:rsidRPr="00051E31">
        <w:t>Unit Sector</w:t>
      </w:r>
    </w:p>
    <w:p w:rsidR="00000000" w:rsidRPr="00051E31" w:rsidP="00BD121E">
      <w:pPr>
        <w:pStyle w:val="BodyText"/>
      </w:pPr>
      <w:r w:rsidRPr="00051E31">
        <w:t>Animal Technology (ATE)</w:t>
      </w:r>
    </w:p>
    <w:p w:rsidR="00000000" w:rsidRPr="00051E31" w:rsidP="00051E31">
      <w:pPr>
        <w:pStyle w:val="Heading1"/>
      </w:pPr>
      <w:bookmarkStart w:id="5" w:name="O_855778"/>
      <w:bookmarkEnd w:id="5"/>
      <w:r w:rsidRPr="00051E3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rPr>
                <w:rStyle w:val="SpecialBold"/>
              </w:rPr>
              <w:t>Performance Criteria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Emphasis"/>
              </w:rPr>
              <w:t xml:space="preserve">Elements describe the </w:t>
            </w:r>
            <w:r w:rsidRPr="00051E31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rPr>
                <w:rStyle w:val="Emphasis"/>
              </w:rPr>
              <w:t xml:space="preserve">Performance criteria describe the performance needed to demonstrate </w:t>
            </w:r>
            <w:r w:rsidRPr="00051E31">
              <w:rPr>
                <w:rStyle w:val="Emphasis"/>
              </w:rPr>
              <w:t>achievement of the element.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1. Prepare for non-surgical procedures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1.1 Verify procedures and sample requirements according to legislative and ethical requirements</w:t>
            </w:r>
          </w:p>
          <w:p w:rsidR="00000000" w:rsidRPr="00051E31" w:rsidP="00051E31">
            <w:pPr>
              <w:pStyle w:val="BodyText"/>
            </w:pPr>
            <w:r w:rsidRPr="00051E31">
              <w:t>1.2 Confirm sample methods</w:t>
            </w:r>
          </w:p>
          <w:p w:rsidR="00000000" w:rsidRPr="00051E31" w:rsidP="00051E31">
            <w:pPr>
              <w:pStyle w:val="BodyText"/>
            </w:pPr>
            <w:r w:rsidRPr="00051E31">
              <w:t>1.3 Calculate dose rates</w:t>
            </w:r>
          </w:p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1.4 Prepare and position required equipment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2. Prepare animals for p</w:t>
            </w:r>
            <w:r w:rsidRPr="00051E31">
              <w:t>rocedure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2.1 Select animals to meet project requirements</w:t>
            </w:r>
          </w:p>
          <w:p w:rsidR="00000000" w:rsidRPr="00051E31" w:rsidP="00051E31">
            <w:pPr>
              <w:pStyle w:val="BodyText"/>
            </w:pPr>
            <w:r w:rsidRPr="00051E31">
              <w:t>2.2 Move animals to testing area and prepare for procedure using techniques to minimise stress and discomfort</w:t>
            </w:r>
          </w:p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2.3 Manage work practices to ensure animals are kept in preparation and procedure areas f</w:t>
            </w:r>
            <w:r w:rsidRPr="00051E31">
              <w:t>or minimal time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3. Administer substances to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3.1 Confirm approved substances and dose rates</w:t>
            </w:r>
          </w:p>
          <w:p w:rsidR="00000000" w:rsidRPr="00051E31" w:rsidP="00051E31">
            <w:pPr>
              <w:pStyle w:val="BodyText"/>
            </w:pPr>
            <w:r w:rsidRPr="00051E31">
              <w:t>3.2 Confirm method of administration of substances</w:t>
            </w:r>
          </w:p>
          <w:p w:rsidR="00000000" w:rsidRPr="00051E31" w:rsidP="00051E31">
            <w:pPr>
              <w:pStyle w:val="BodyText"/>
            </w:pPr>
            <w:r w:rsidRPr="00051E31">
              <w:t>3.3 Evaluate risks associated with preparation and administration of substances, practise emergency proce</w:t>
            </w:r>
            <w:r w:rsidRPr="00051E31">
              <w:t>dures and implement as required</w:t>
            </w:r>
          </w:p>
          <w:p w:rsidR="00000000" w:rsidRPr="00051E31" w:rsidP="00051E31">
            <w:pPr>
              <w:pStyle w:val="BodyText"/>
            </w:pPr>
            <w:r w:rsidRPr="00051E31">
              <w:t>3.4 Administer substances to animals</w:t>
            </w:r>
          </w:p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3.5 Monitor animals for adverse reactions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4. Collect samples from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4.1 Confirm sampling techniques</w:t>
            </w:r>
          </w:p>
          <w:p w:rsidR="00000000" w:rsidRPr="00051E31" w:rsidP="00051E31">
            <w:pPr>
              <w:pStyle w:val="BodyText"/>
            </w:pPr>
            <w:r w:rsidRPr="00051E31">
              <w:t xml:space="preserve">4.2 Identify hazards in collection process and practise and implement emergency response requirements </w:t>
            </w:r>
          </w:p>
          <w:p w:rsidR="00000000" w:rsidRPr="00051E31" w:rsidP="00051E31">
            <w:pPr>
              <w:pStyle w:val="BodyText"/>
            </w:pPr>
            <w:r w:rsidRPr="00051E31">
              <w:t xml:space="preserve">4.3 Collect, process, package and store body fluid samples </w:t>
            </w:r>
          </w:p>
          <w:p w:rsidR="00000000" w:rsidRPr="00051E31" w:rsidP="00051E31">
            <w:pPr>
              <w:pStyle w:val="BodyText"/>
            </w:pPr>
            <w:r w:rsidRPr="00051E31">
              <w:t>4.4 Collect tissue samples</w:t>
            </w:r>
          </w:p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4.5 Check samples for suitability and prepare according to laborat</w:t>
            </w:r>
            <w:r w:rsidRPr="00051E31">
              <w:t>ory and project protocols</w:t>
            </w:r>
          </w:p>
        </w:tc>
      </w:tr>
      <w:tr w:rsidTr="00BD1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5. Complete post-procedure duties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5.1 Return animals to housing, and monitor and respond according to workplace procedures / laboratory schedule</w:t>
            </w:r>
          </w:p>
          <w:p w:rsidR="00000000" w:rsidRPr="00051E31" w:rsidP="00051E31">
            <w:pPr>
              <w:pStyle w:val="BodyText"/>
            </w:pPr>
            <w:r w:rsidRPr="00051E31">
              <w:t>5.2 Update and store animal and project records in the organisational management sys</w:t>
            </w:r>
            <w:r w:rsidRPr="00051E31">
              <w:t>tem</w:t>
            </w:r>
          </w:p>
          <w:p w:rsidR="00000000" w:rsidRPr="00051E31" w:rsidP="00051E31">
            <w:pPr>
              <w:pStyle w:val="BodyText"/>
            </w:pPr>
            <w:r w:rsidRPr="00051E31">
              <w:t>5.3 Clean procedures area and equipment and dispose of waste according to laboratory protocols and industry standards</w:t>
            </w:r>
          </w:p>
        </w:tc>
      </w:tr>
    </w:tbl>
    <w:p w:rsidR="00000000" w:rsidRPr="00051E31" w:rsidP="00051E31">
      <w:pPr>
        <w:pStyle w:val="BodyText"/>
      </w:pPr>
    </w:p>
    <w:p w:rsidR="00000000" w:rsidRPr="00051E31" w:rsidP="00051E31">
      <w:pPr>
        <w:pStyle w:val="AllowPageBreak"/>
      </w:pPr>
    </w:p>
    <w:p w:rsidR="00000000" w:rsidRPr="00051E31" w:rsidP="00051E31">
      <w:pPr>
        <w:pStyle w:val="Heading1"/>
      </w:pPr>
      <w:bookmarkStart w:id="6" w:name="O_855779"/>
      <w:bookmarkEnd w:id="6"/>
      <w:r w:rsidRPr="00051E31">
        <w:t>Foundation Skills</w:t>
      </w:r>
    </w:p>
    <w:p w:rsidR="00000000" w:rsidRPr="00BD121E" w:rsidP="00BD121E">
      <w:pPr>
        <w:pStyle w:val="BodyText"/>
        <w:rPr>
          <w:i/>
        </w:rPr>
      </w:pPr>
      <w:r w:rsidRPr="00BD121E">
        <w:rPr>
          <w:rStyle w:val="Emphasis"/>
        </w:rPr>
        <w:t>This section describes those language, literacy, numeracy and employment skills that are essentia</w:t>
      </w:r>
      <w:r w:rsidRPr="00BD121E">
        <w:rPr>
          <w:rStyle w:val="Emphasis"/>
        </w:rPr>
        <w:t>l for performance in this unit of competency but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rPr>
                <w:rStyle w:val="SpecialBold"/>
              </w:rPr>
              <w:t>Description</w:t>
            </w:r>
          </w:p>
        </w:tc>
      </w:tr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Writing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ListBullet"/>
              <w:rPr>
                <w:lang w:val="en-NZ"/>
              </w:rPr>
            </w:pPr>
            <w:r w:rsidRPr="00051E31">
              <w:t>Complete workplace documentation in relation to non-surgical procedures</w:t>
            </w:r>
          </w:p>
        </w:tc>
      </w:tr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Oral 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ListBullet"/>
            </w:pPr>
            <w:r w:rsidRPr="00051E31">
              <w:t>Listen to clear sequenced instructions by supervisor and ask clarifying questions as required to clarify requirements in relation to sampling techniques and checking samples</w:t>
            </w:r>
          </w:p>
        </w:tc>
      </w:tr>
    </w:tbl>
    <w:p w:rsidR="00000000" w:rsidRPr="00051E31" w:rsidP="00051E31">
      <w:pPr>
        <w:pStyle w:val="BodyText"/>
      </w:pPr>
    </w:p>
    <w:p w:rsidR="00000000" w:rsidRPr="00051E31" w:rsidP="00051E31">
      <w:pPr>
        <w:pStyle w:val="AllowPageBreak"/>
      </w:pPr>
    </w:p>
    <w:p w:rsidR="00000000" w:rsidRPr="00051E31" w:rsidP="00051E31">
      <w:pPr>
        <w:pStyle w:val="Heading1"/>
      </w:pPr>
      <w:bookmarkStart w:id="7" w:name="O_855781"/>
      <w:bookmarkEnd w:id="7"/>
      <w:r w:rsidRPr="00051E31">
        <w:t>Unit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835"/>
        <w:gridCol w:w="2268"/>
        <w:gridCol w:w="2268"/>
      </w:tblGrid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Code and title current 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rPr>
                <w:rStyle w:val="SpecialBold"/>
              </w:rPr>
              <w:t>Equivalence status</w:t>
            </w:r>
          </w:p>
        </w:tc>
      </w:tr>
      <w:tr w:rsidTr="00051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ACMATE304 Conduct non-surgical procedures on animals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ACMATE304A Conduct non-surgical procedures on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31">
            <w:pPr>
              <w:pStyle w:val="BodyText"/>
              <w:rPr>
                <w:lang w:val="en-NZ"/>
              </w:rPr>
            </w:pPr>
            <w:r w:rsidRPr="00051E31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31" w:rsidP="00051E31">
            <w:pPr>
              <w:pStyle w:val="BodyText"/>
            </w:pPr>
            <w:r w:rsidRPr="00051E31">
              <w:t>Equivalent unit</w:t>
            </w:r>
          </w:p>
        </w:tc>
      </w:tr>
    </w:tbl>
    <w:p w:rsidR="00000000" w:rsidRPr="00051E31" w:rsidP="00051E31">
      <w:pPr>
        <w:pStyle w:val="BodyText"/>
      </w:pPr>
    </w:p>
    <w:p w:rsidR="00000000" w:rsidRPr="00051E31" w:rsidP="00051E31">
      <w:pPr>
        <w:pStyle w:val="AllowPageBreak"/>
      </w:pPr>
    </w:p>
    <w:p w:rsidR="00000000" w:rsidRPr="00051E31" w:rsidP="00051E31">
      <w:pPr>
        <w:pStyle w:val="Heading1"/>
      </w:pPr>
      <w:bookmarkStart w:id="8" w:name="O_855788"/>
      <w:bookmarkEnd w:id="8"/>
      <w:r w:rsidRPr="00051E31">
        <w:t>Links</w:t>
      </w:r>
    </w:p>
    <w:p w:rsidR="00000000" w:rsidRPr="00051E31" w:rsidP="00BD121E">
      <w:pPr>
        <w:pStyle w:val="BodyText"/>
      </w:pPr>
      <w:r w:rsidRPr="00051E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82AF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51E31" w:rsidP="00051E31"/>
    <w:sectPr w:rsidSect="00051E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31" w:rsidRPr="00BD121E" w:rsidP="00BD1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1E" w:rsidP="00051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21E" w:rsidP="00051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121E" w:rsidP="00051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E31" w:rsidRPr="00BD121E" w:rsidP="00BD1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1E" w:rsidRPr="002D2AF8" w:rsidP="00051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ACMATE304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D121E" w:rsidP="00051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AAE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963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31"/>
  </w:style>
  <w:style w:type="character" w:customStyle="1" w:styleId="Heading1Char">
    <w:name w:val="Heading 1 Char"/>
    <w:basedOn w:val="DefaultParagraphFont"/>
    <w:link w:val="Heading1"/>
    <w:rsid w:val="00051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E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E31"/>
    <w:rPr>
      <w:b/>
      <w:spacing w:val="0"/>
    </w:rPr>
  </w:style>
  <w:style w:type="character" w:styleId="Emphasis">
    <w:name w:val="Emphasis"/>
    <w:basedOn w:val="DefaultParagraphFont"/>
    <w:qFormat/>
    <w:rsid w:val="00051E31"/>
    <w:rPr>
      <w:i/>
    </w:rPr>
  </w:style>
  <w:style w:type="paragraph" w:customStyle="1" w:styleId="SuperHeading">
    <w:name w:val="SuperHeading"/>
    <w:basedOn w:val="Normal"/>
    <w:rsid w:val="00051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E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31"/>
  </w:style>
  <w:style w:type="paragraph" w:styleId="TableofFigures">
    <w:name w:val="table of figures"/>
    <w:basedOn w:val="Normal"/>
    <w:next w:val="Normal"/>
    <w:semiHidden/>
    <w:rsid w:val="00051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31"/>
    <w:pPr>
      <w:numPr>
        <w:numId w:val="10"/>
      </w:numPr>
    </w:pPr>
  </w:style>
  <w:style w:type="character" w:customStyle="1" w:styleId="WingdingSymbols">
    <w:name w:val="Wingding Symbols"/>
    <w:rsid w:val="00051E31"/>
    <w:rPr>
      <w:rFonts w:ascii="Wingdings" w:hAnsi="Wingdings"/>
    </w:rPr>
  </w:style>
  <w:style w:type="paragraph" w:customStyle="1" w:styleId="TableHeading">
    <w:name w:val="Table Heading"/>
    <w:basedOn w:val="HeadingBase"/>
    <w:rsid w:val="00051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31"/>
    <w:rPr>
      <w:color w:val="0033CC"/>
      <w:u w:val="none"/>
    </w:rPr>
  </w:style>
  <w:style w:type="paragraph" w:customStyle="1" w:styleId="BodyTextRight">
    <w:name w:val="Body Text Right"/>
    <w:basedOn w:val="BodyText"/>
    <w:rsid w:val="00051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31"/>
    <w:rPr>
      <w:sz w:val="32"/>
    </w:rPr>
  </w:style>
  <w:style w:type="paragraph" w:customStyle="1" w:styleId="HeadingProcedure">
    <w:name w:val="Heading Procedure"/>
    <w:basedOn w:val="HeadingBase"/>
    <w:next w:val="Normal"/>
    <w:rsid w:val="00051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31"/>
    <w:pPr>
      <w:spacing w:before="60" w:after="60"/>
    </w:pPr>
  </w:style>
  <w:style w:type="paragraph" w:styleId="ListContinue">
    <w:name w:val="List Continue"/>
    <w:basedOn w:val="List"/>
    <w:rsid w:val="00051E31"/>
    <w:pPr>
      <w:ind w:firstLine="0"/>
    </w:pPr>
  </w:style>
  <w:style w:type="paragraph" w:customStyle="1" w:styleId="ListNote">
    <w:name w:val="List Note"/>
    <w:basedOn w:val="List"/>
    <w:rsid w:val="00051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31"/>
    <w:rPr>
      <w:rFonts w:ascii="Courier New" w:hAnsi="Courier New"/>
    </w:rPr>
  </w:style>
  <w:style w:type="paragraph" w:customStyle="1" w:styleId="NoteBullet">
    <w:name w:val="Note Bullet"/>
    <w:basedOn w:val="Note"/>
    <w:rsid w:val="00051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1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31"/>
    <w:rPr>
      <w:b/>
      <w:smallCaps/>
    </w:rPr>
  </w:style>
  <w:style w:type="paragraph" w:customStyle="1" w:styleId="TableListNumber">
    <w:name w:val="Table List Number"/>
    <w:basedOn w:val="ListNumber"/>
    <w:rsid w:val="00051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31"/>
    <w:pPr>
      <w:numPr>
        <w:numId w:val="8"/>
      </w:numPr>
    </w:pPr>
  </w:style>
  <w:style w:type="paragraph" w:customStyle="1" w:styleId="ListAlpha2">
    <w:name w:val="List Alpha 2"/>
    <w:basedOn w:val="List2"/>
    <w:rsid w:val="00051E31"/>
    <w:pPr>
      <w:numPr>
        <w:numId w:val="7"/>
      </w:numPr>
    </w:pPr>
  </w:style>
  <w:style w:type="paragraph" w:styleId="List2">
    <w:name w:val="List 2"/>
    <w:basedOn w:val="BodyText"/>
    <w:rsid w:val="00051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E31"/>
    <w:pPr>
      <w:numPr>
        <w:numId w:val="3"/>
      </w:numPr>
    </w:pPr>
  </w:style>
  <w:style w:type="paragraph" w:styleId="ListContinue2">
    <w:name w:val="List Continue 2"/>
    <w:basedOn w:val="List2"/>
    <w:rsid w:val="00051E31"/>
    <w:pPr>
      <w:ind w:firstLine="0"/>
    </w:pPr>
  </w:style>
  <w:style w:type="paragraph" w:styleId="ListContinue3">
    <w:name w:val="List Continue 3"/>
    <w:basedOn w:val="List3"/>
    <w:rsid w:val="00051E31"/>
    <w:pPr>
      <w:ind w:left="1021" w:firstLine="0"/>
    </w:pPr>
  </w:style>
  <w:style w:type="paragraph" w:styleId="ListContinue4">
    <w:name w:val="List Continue 4"/>
    <w:basedOn w:val="List4"/>
    <w:rsid w:val="00051E31"/>
    <w:pPr>
      <w:ind w:firstLine="0"/>
    </w:pPr>
  </w:style>
  <w:style w:type="paragraph" w:styleId="ListContinue5">
    <w:name w:val="List Continue 5"/>
    <w:basedOn w:val="List5"/>
    <w:rsid w:val="00051E31"/>
    <w:pPr>
      <w:ind w:firstLine="0"/>
    </w:pPr>
  </w:style>
  <w:style w:type="paragraph" w:styleId="ListNumber3">
    <w:name w:val="List Number 3"/>
    <w:basedOn w:val="List3"/>
    <w:rsid w:val="00051E31"/>
    <w:pPr>
      <w:numPr>
        <w:numId w:val="4"/>
      </w:numPr>
    </w:pPr>
  </w:style>
  <w:style w:type="paragraph" w:styleId="ListNumber4">
    <w:name w:val="List Number 4"/>
    <w:basedOn w:val="List4"/>
    <w:rsid w:val="00051E31"/>
    <w:pPr>
      <w:numPr>
        <w:numId w:val="5"/>
      </w:numPr>
    </w:pPr>
  </w:style>
  <w:style w:type="paragraph" w:styleId="ListNumber5">
    <w:name w:val="List Number 5"/>
    <w:basedOn w:val="List5"/>
    <w:rsid w:val="00051E31"/>
    <w:pPr>
      <w:numPr>
        <w:numId w:val="6"/>
      </w:numPr>
    </w:pPr>
  </w:style>
  <w:style w:type="paragraph" w:styleId="BlockText">
    <w:name w:val="Block Text"/>
    <w:basedOn w:val="Normal"/>
    <w:rsid w:val="00051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31"/>
    <w:rPr>
      <w:sz w:val="16"/>
      <w:vertAlign w:val="superscript"/>
    </w:rPr>
  </w:style>
  <w:style w:type="character" w:customStyle="1" w:styleId="Symbols">
    <w:name w:val="Symbols"/>
    <w:basedOn w:val="DefaultParagraphFont"/>
    <w:rsid w:val="00051E31"/>
    <w:rPr>
      <w:rFonts w:ascii="Symbol" w:hAnsi="Symbol"/>
    </w:rPr>
  </w:style>
  <w:style w:type="character" w:customStyle="1" w:styleId="MenuOptions">
    <w:name w:val="Menu Options"/>
    <w:basedOn w:val="DefaultParagraphFont"/>
    <w:rsid w:val="00051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31"/>
    <w:rPr>
      <w:b/>
    </w:rPr>
  </w:style>
  <w:style w:type="character" w:customStyle="1" w:styleId="Underlined">
    <w:name w:val="Underlined"/>
    <w:basedOn w:val="DefaultParagraphFont"/>
    <w:rsid w:val="00051E31"/>
    <w:rPr>
      <w:u w:val="single"/>
    </w:rPr>
  </w:style>
  <w:style w:type="paragraph" w:customStyle="1" w:styleId="TableBodyTextRight">
    <w:name w:val="Table Body Text Right"/>
    <w:basedOn w:val="TableBodyText"/>
    <w:rsid w:val="00051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31"/>
    <w:rPr>
      <w:sz w:val="18"/>
    </w:rPr>
  </w:style>
  <w:style w:type="paragraph" w:customStyle="1" w:styleId="BodySmallRight">
    <w:name w:val="Body Small Right"/>
    <w:basedOn w:val="BodyTextRight"/>
    <w:rsid w:val="00051E31"/>
    <w:rPr>
      <w:sz w:val="18"/>
      <w:szCs w:val="18"/>
    </w:rPr>
  </w:style>
  <w:style w:type="paragraph" w:customStyle="1" w:styleId="MarginEdition">
    <w:name w:val="Margin Edition"/>
    <w:basedOn w:val="MarginNote"/>
    <w:rsid w:val="00051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31"/>
    <w:rPr>
      <w:sz w:val="2"/>
      <w:szCs w:val="2"/>
    </w:rPr>
  </w:style>
  <w:style w:type="character" w:customStyle="1" w:styleId="Small">
    <w:name w:val="Small"/>
    <w:basedOn w:val="DefaultParagraphFont"/>
    <w:rsid w:val="00051E31"/>
    <w:rPr>
      <w:sz w:val="16"/>
    </w:rPr>
  </w:style>
  <w:style w:type="paragraph" w:customStyle="1" w:styleId="WideTable">
    <w:name w:val="Wide Table"/>
    <w:basedOn w:val="Normal"/>
    <w:rsid w:val="00051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31"/>
  </w:style>
  <w:style w:type="paragraph" w:styleId="Quote">
    <w:name w:val="Quote"/>
    <w:basedOn w:val="Heading1"/>
    <w:link w:val="QuoteChar"/>
    <w:qFormat/>
    <w:rsid w:val="00051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31"/>
    <w:pPr>
      <w:pageBreakBefore/>
    </w:pPr>
  </w:style>
  <w:style w:type="paragraph" w:customStyle="1" w:styleId="Border">
    <w:name w:val="Border"/>
    <w:basedOn w:val="Normal"/>
    <w:qFormat/>
    <w:rsid w:val="00051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31"/>
    <w:rPr>
      <w:u w:val="single"/>
    </w:rPr>
  </w:style>
  <w:style w:type="character" w:customStyle="1" w:styleId="BoldandItalics">
    <w:name w:val="Bold and Italics"/>
    <w:qFormat/>
    <w:rsid w:val="00051E31"/>
    <w:rPr>
      <w:b/>
      <w:i/>
      <w:u w:val="none"/>
    </w:rPr>
  </w:style>
  <w:style w:type="paragraph" w:styleId="BalloonText">
    <w:name w:val="Balloon Text"/>
    <w:basedOn w:val="Normal"/>
    <w:link w:val="BalloonTextChar"/>
    <w:rsid w:val="00051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E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1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3500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ACMATE304 Conduct non-surgical procedures 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2018-12-11T03:25:00Z</dcterms:created>
  <dcterms:modified xsi:type="dcterms:W3CDTF">2018-12-11T03:25:00Z</dcterms:modified>
</cp:coreProperties>
</file>