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2285" w:rsidP="009222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ACMAIM404 Collaborate in planning sedation and anaesthesia of large animals in emergency field situations</w:t>
      </w:r>
      <w:r>
        <w:fldChar w:fldCharType="end"/>
      </w:r>
    </w:p>
    <w:p w:rsidR="00922285" w:rsidP="00922285">
      <w:pPr>
        <w:pStyle w:val="Version"/>
        <w:sectPr w:rsidSect="00F357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5753" w:rsidP="00F35753">
      <w:pPr>
        <w:pStyle w:val="SuperHeading"/>
      </w:pPr>
      <w:r w:rsidRPr="00F35753">
        <w:t>Assessment Requirements for ACMAIM404 Collaborate in planning sedation and anaesthesia of large animals in emergency field situations</w:t>
      </w:r>
    </w:p>
    <w:p w:rsidR="00000000" w:rsidRPr="00F35753" w:rsidP="00F35753">
      <w:pPr>
        <w:pStyle w:val="Heading1"/>
      </w:pPr>
      <w:bookmarkStart w:id="1" w:name="O_1049332"/>
      <w:bookmarkEnd w:id="1"/>
      <w:r w:rsidRPr="00F3575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357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753">
            <w:pPr>
              <w:pStyle w:val="BodyTextBold"/>
              <w:rPr>
                <w:lang w:val="en-NZ"/>
              </w:rPr>
            </w:pPr>
            <w:r w:rsidRPr="00F3575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753">
            <w:pPr>
              <w:pStyle w:val="BodyTextBold"/>
              <w:rPr>
                <w:lang w:val="en-NZ"/>
              </w:rPr>
            </w:pPr>
            <w:r w:rsidRPr="00F35753">
              <w:t>Comments</w:t>
            </w:r>
          </w:p>
        </w:tc>
      </w:tr>
      <w:tr w:rsidTr="00F357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753">
            <w:pPr>
              <w:pStyle w:val="BodyText"/>
              <w:rPr>
                <w:lang w:val="en-NZ"/>
              </w:rPr>
            </w:pPr>
            <w:r w:rsidRPr="00F3575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753" w:rsidP="00F35753">
            <w:pPr>
              <w:pStyle w:val="BodyText"/>
            </w:pPr>
            <w:r w:rsidRPr="00F35753">
              <w:t>This version released with ACM Animal Care and Management Training Package Version 3.0.</w:t>
            </w:r>
          </w:p>
        </w:tc>
      </w:tr>
    </w:tbl>
    <w:p w:rsidR="00000000" w:rsidRPr="00F35753" w:rsidP="00F35753">
      <w:pPr>
        <w:pStyle w:val="BodyText"/>
      </w:pPr>
    </w:p>
    <w:p w:rsidR="00000000" w:rsidRPr="00F35753" w:rsidP="00F35753">
      <w:pPr>
        <w:pStyle w:val="AllowPageBreak"/>
      </w:pPr>
    </w:p>
    <w:p w:rsidR="00000000" w:rsidRPr="00F35753" w:rsidP="00F35753">
      <w:pPr>
        <w:pStyle w:val="Heading1"/>
      </w:pPr>
      <w:bookmarkStart w:id="2" w:name="O_1049333"/>
      <w:bookmarkEnd w:id="2"/>
      <w:r w:rsidRPr="00F35753">
        <w:t>Performance Evidence</w:t>
      </w:r>
    </w:p>
    <w:p w:rsidR="00000000" w:rsidRPr="00F35753" w:rsidP="00922285">
      <w:pPr>
        <w:pStyle w:val="BodyText"/>
      </w:pPr>
      <w:r w:rsidRPr="00F35753">
        <w:t xml:space="preserve">An individual demonstrating competency must satisfy all of the elements and performance criteria in this unit. </w:t>
      </w:r>
    </w:p>
    <w:p w:rsidR="00000000" w:rsidRPr="00F35753" w:rsidP="00922285">
      <w:pPr>
        <w:pStyle w:val="BodyText"/>
      </w:pPr>
      <w:r w:rsidRPr="00F35753">
        <w:t xml:space="preserve">There must be </w:t>
      </w:r>
      <w:r w:rsidRPr="00F35753">
        <w:t>evidence that the individual has:</w:t>
      </w:r>
    </w:p>
    <w:p w:rsidR="00000000" w:rsidRPr="00F35753" w:rsidP="00F35753">
      <w:pPr>
        <w:pStyle w:val="ListBullet"/>
      </w:pPr>
      <w:r w:rsidRPr="00F35753">
        <w:t>discussed and contributed to the planning of sedation and anaesthesia requirements of a large animal in three different incident scene scenarios</w:t>
      </w:r>
    </w:p>
    <w:p w:rsidR="00000000" w:rsidRPr="00F35753" w:rsidP="00F35753">
      <w:pPr>
        <w:pStyle w:val="ListBullet"/>
      </w:pPr>
      <w:r w:rsidRPr="00F35753">
        <w:t>assisted with providing animal post-incident care for each of the three scen</w:t>
      </w:r>
      <w:r w:rsidRPr="00F35753">
        <w:t>arios where sedation and anaesthesia were used.</w:t>
      </w:r>
    </w:p>
    <w:p w:rsidR="00000000" w:rsidRPr="00F35753" w:rsidP="00F35753">
      <w:pPr>
        <w:pStyle w:val="AllowPageBreak"/>
      </w:pPr>
    </w:p>
    <w:p w:rsidR="00000000" w:rsidRPr="00F35753" w:rsidP="00F35753">
      <w:pPr>
        <w:pStyle w:val="Heading1"/>
      </w:pPr>
      <w:bookmarkStart w:id="3" w:name="O_1049334"/>
      <w:bookmarkEnd w:id="3"/>
      <w:r w:rsidRPr="00F35753">
        <w:t>Knowledge Evidence</w:t>
      </w:r>
    </w:p>
    <w:p w:rsidR="00000000" w:rsidRPr="00F35753" w:rsidP="00922285">
      <w:pPr>
        <w:pStyle w:val="BodyText"/>
      </w:pPr>
      <w:r w:rsidRPr="00F35753">
        <w:t xml:space="preserve">An individual must be able to demonstrate the knowledge required to perform the tasks outlined in the elements and performance criteria of this unit. </w:t>
      </w:r>
      <w:r w:rsidRPr="00F35753">
        <w:t>This includes knowledge of:</w:t>
      </w:r>
    </w:p>
    <w:p w:rsidR="00000000" w:rsidRPr="00F35753" w:rsidP="00F35753">
      <w:pPr>
        <w:pStyle w:val="ListBullet"/>
      </w:pPr>
      <w:r w:rsidRPr="00F35753">
        <w:t>incident management system and communication protocols used in large animal incident scenes</w:t>
      </w:r>
    </w:p>
    <w:p w:rsidR="00000000" w:rsidRPr="00F35753" w:rsidP="00F35753">
      <w:pPr>
        <w:pStyle w:val="ListBullet"/>
      </w:pPr>
      <w:r w:rsidRPr="00F35753">
        <w:t>veterinarian</w:t>
      </w:r>
      <w:r>
        <w:t>’</w:t>
      </w:r>
      <w:r w:rsidRPr="00F35753">
        <w:t>s role and responsibilities in large animal incident scene management</w:t>
      </w:r>
    </w:p>
    <w:p w:rsidR="00000000" w:rsidRPr="00F35753" w:rsidP="00F35753">
      <w:pPr>
        <w:pStyle w:val="ListBullet"/>
      </w:pPr>
      <w:r w:rsidRPr="00F35753">
        <w:t xml:space="preserve">incident scene risks, including: </w:t>
      </w:r>
    </w:p>
    <w:p w:rsidR="00000000" w:rsidRPr="00F35753" w:rsidP="00F35753">
      <w:pPr>
        <w:pStyle w:val="ListBullet2"/>
      </w:pPr>
      <w:r w:rsidRPr="00F35753">
        <w:t>large animal beha</w:t>
      </w:r>
      <w:r w:rsidRPr="00F35753">
        <w:t>viour – fight and flight responses</w:t>
      </w:r>
    </w:p>
    <w:p w:rsidR="00000000" w:rsidRPr="00F35753" w:rsidP="00F35753">
      <w:pPr>
        <w:pStyle w:val="ListBullet2"/>
      </w:pPr>
      <w:r w:rsidRPr="00F35753">
        <w:t xml:space="preserve">environmental issues </w:t>
      </w:r>
    </w:p>
    <w:p w:rsidR="00000000" w:rsidRPr="00F35753" w:rsidP="00F35753">
      <w:pPr>
        <w:pStyle w:val="ListBullet2"/>
      </w:pPr>
      <w:r w:rsidRPr="00F35753">
        <w:t>dealing with people and managing expectations</w:t>
      </w:r>
    </w:p>
    <w:p w:rsidR="00000000" w:rsidRPr="00F35753" w:rsidP="00F35753">
      <w:pPr>
        <w:pStyle w:val="ListBullet2"/>
      </w:pPr>
      <w:r w:rsidRPr="00F35753">
        <w:t>sharps disposal and biosecurity risks</w:t>
      </w:r>
    </w:p>
    <w:p w:rsidR="00000000" w:rsidRPr="00F35753" w:rsidP="00F35753">
      <w:pPr>
        <w:pStyle w:val="ListBullet"/>
      </w:pPr>
      <w:r w:rsidRPr="00F35753">
        <w:t>zoonotic disease risks, including transmission routes and ways to mitigate the risks</w:t>
      </w:r>
    </w:p>
    <w:p w:rsidR="00000000" w:rsidRPr="00F35753" w:rsidP="00F35753">
      <w:pPr>
        <w:pStyle w:val="ListBullet"/>
      </w:pPr>
      <w:r w:rsidRPr="00F35753">
        <w:t>personal protective equipment</w:t>
      </w:r>
      <w:r w:rsidRPr="00F35753">
        <w:t xml:space="preserve"> (PPE) requirements for specific situations</w:t>
      </w:r>
    </w:p>
    <w:p w:rsidR="00000000" w:rsidRPr="00F35753" w:rsidP="00F35753">
      <w:pPr>
        <w:pStyle w:val="ListBullet"/>
      </w:pPr>
      <w:r w:rsidRPr="00F35753">
        <w:t>sedation and anaesthesia (chemical restraints), including:</w:t>
      </w:r>
    </w:p>
    <w:p w:rsidR="00000000" w:rsidRPr="00F35753" w:rsidP="00F35753">
      <w:pPr>
        <w:pStyle w:val="ListBullet2"/>
      </w:pPr>
      <w:r w:rsidRPr="00F35753">
        <w:t>routes of administration for different situations – intravenous (IV), intramuscular (IM), oral</w:t>
      </w:r>
    </w:p>
    <w:p w:rsidR="00000000" w:rsidRPr="00F35753" w:rsidP="00F35753">
      <w:pPr>
        <w:pStyle w:val="ListBullet2"/>
      </w:pPr>
      <w:r w:rsidRPr="00F35753">
        <w:t>analgesics and drugs used for sedation and anaesthesia</w:t>
      </w:r>
    </w:p>
    <w:p w:rsidR="00000000" w:rsidRPr="00F35753" w:rsidP="00F35753">
      <w:pPr>
        <w:pStyle w:val="ListBullet2"/>
      </w:pPr>
      <w:r w:rsidRPr="00F35753">
        <w:t>time to take effect and duration period</w:t>
      </w:r>
    </w:p>
    <w:p w:rsidR="00000000" w:rsidRPr="00F35753" w:rsidP="00F35753">
      <w:pPr>
        <w:pStyle w:val="ListBullet2"/>
      </w:pPr>
      <w:r w:rsidRPr="00F35753">
        <w:t>devices used for difficult access, including air-operated gun and pole-operated syringes</w:t>
      </w:r>
    </w:p>
    <w:p w:rsidR="00000000" w:rsidRPr="00F35753" w:rsidP="00F35753">
      <w:pPr>
        <w:pStyle w:val="ListBullet2"/>
      </w:pPr>
      <w:r w:rsidRPr="00F35753">
        <w:t xml:space="preserve">dose levels appropriate for animal state of heightened excitement, fear and/or pain, including impact of adrenalin and need to </w:t>
      </w:r>
      <w:r w:rsidRPr="00F35753">
        <w:t>ensure initial dose is effective and not rely on top-ups</w:t>
      </w:r>
    </w:p>
    <w:p w:rsidR="00000000" w:rsidRPr="00F35753" w:rsidP="00F35753">
      <w:pPr>
        <w:pStyle w:val="ListBullet2"/>
      </w:pPr>
      <w:r w:rsidRPr="00F35753">
        <w:t>impact and limitations of sedatives and anaesthesia on different species</w:t>
      </w:r>
    </w:p>
    <w:p w:rsidR="00000000" w:rsidRPr="00F35753" w:rsidP="00F35753">
      <w:pPr>
        <w:pStyle w:val="ListBullet2"/>
      </w:pPr>
      <w:r w:rsidRPr="00F35753">
        <w:t>consideration of status of patient – old, exhausted, dehydrated, pain</w:t>
      </w:r>
    </w:p>
    <w:p w:rsidR="00000000" w:rsidRPr="00F35753" w:rsidP="00F35753">
      <w:pPr>
        <w:pStyle w:val="ListBullet2"/>
      </w:pPr>
      <w:r w:rsidRPr="00F35753">
        <w:t>sedation reversal</w:t>
      </w:r>
    </w:p>
    <w:p w:rsidR="00000000" w:rsidRPr="00F35753" w:rsidP="00F35753">
      <w:pPr>
        <w:pStyle w:val="ListBullet"/>
      </w:pPr>
      <w:r w:rsidRPr="00F35753">
        <w:t>level of sedation or anaesthesia reco</w:t>
      </w:r>
      <w:r w:rsidRPr="00F35753">
        <w:t>mmended for:</w:t>
      </w:r>
    </w:p>
    <w:p w:rsidR="00000000" w:rsidRPr="00F35753" w:rsidP="00F35753">
      <w:pPr>
        <w:pStyle w:val="ListBullet2"/>
      </w:pPr>
      <w:r w:rsidRPr="00F35753">
        <w:t>allowing the animal to walk or move to assist with the extrication</w:t>
      </w:r>
    </w:p>
    <w:p w:rsidR="00000000" w:rsidRPr="00F35753" w:rsidP="00F35753">
      <w:pPr>
        <w:pStyle w:val="ListBullet2"/>
      </w:pPr>
      <w:r w:rsidRPr="00F35753">
        <w:t>fitting slings, lifting and sliding the animal</w:t>
      </w:r>
    </w:p>
    <w:p w:rsidR="00000000" w:rsidRPr="00F35753" w:rsidP="00F35753">
      <w:pPr>
        <w:pStyle w:val="ListBullet2"/>
      </w:pPr>
      <w:r w:rsidRPr="00F35753">
        <w:t>lengthy or delayed extrication requiring constant infusion</w:t>
      </w:r>
    </w:p>
    <w:p w:rsidR="00000000" w:rsidRPr="00F35753" w:rsidP="00F35753">
      <w:pPr>
        <w:pStyle w:val="ListBullet2"/>
      </w:pPr>
      <w:r w:rsidRPr="00F35753">
        <w:t>euthanasia</w:t>
      </w:r>
    </w:p>
    <w:p w:rsidR="00000000" w:rsidRPr="00F35753" w:rsidP="00F35753">
      <w:pPr>
        <w:pStyle w:val="ListBullet"/>
      </w:pPr>
      <w:r w:rsidRPr="00F35753">
        <w:t>animal behaviour and responses to sedation and recovery</w:t>
      </w:r>
    </w:p>
    <w:p w:rsidR="00000000" w:rsidRPr="00F35753" w:rsidP="00F35753">
      <w:pPr>
        <w:pStyle w:val="ListBullet"/>
      </w:pPr>
      <w:r w:rsidRPr="00F35753">
        <w:t>l</w:t>
      </w:r>
      <w:r w:rsidRPr="00F35753">
        <w:t>arge animal anatomy and relationship to animal incident rescue techniques</w:t>
      </w:r>
    </w:p>
    <w:p w:rsidR="00000000" w:rsidRPr="00F35753" w:rsidP="00F35753">
      <w:pPr>
        <w:pStyle w:val="ListBullet"/>
      </w:pPr>
      <w:r w:rsidRPr="00F35753">
        <w:t>issues relating to euthanasia of animals, including:</w:t>
      </w:r>
    </w:p>
    <w:p w:rsidR="00000000" w:rsidRPr="00F35753" w:rsidP="00F35753">
      <w:pPr>
        <w:pStyle w:val="ListBullet2"/>
      </w:pPr>
      <w:r w:rsidRPr="00F35753">
        <w:t>considerations in making the call to euthanase an animal</w:t>
      </w:r>
    </w:p>
    <w:p w:rsidR="00000000" w:rsidRPr="00F35753" w:rsidP="00F35753">
      <w:pPr>
        <w:pStyle w:val="ListBullet2"/>
      </w:pPr>
      <w:r w:rsidRPr="00F35753">
        <w:t xml:space="preserve">permission/authority, regulatory and insurance requirements </w:t>
      </w:r>
    </w:p>
    <w:p w:rsidR="00000000" w:rsidRPr="00F35753" w:rsidP="00F35753">
      <w:pPr>
        <w:pStyle w:val="ListBullet2"/>
      </w:pPr>
      <w:r w:rsidRPr="00F35753">
        <w:t>approved and humane methods of euthanasia – chemical and physical</w:t>
      </w:r>
    </w:p>
    <w:p w:rsidR="00000000" w:rsidRPr="00F35753" w:rsidP="00F35753">
      <w:pPr>
        <w:pStyle w:val="ListBullet2"/>
      </w:pPr>
      <w:r w:rsidRPr="00F35753">
        <w:t>strategies to use in team and/or owner debriefing after an incident.</w:t>
      </w:r>
    </w:p>
    <w:p w:rsidR="00000000" w:rsidRPr="00F35753" w:rsidP="00F35753">
      <w:pPr>
        <w:pStyle w:val="AllowPageBreak"/>
      </w:pPr>
    </w:p>
    <w:p w:rsidR="00000000" w:rsidRPr="00F35753" w:rsidP="00F35753">
      <w:pPr>
        <w:pStyle w:val="Heading1"/>
      </w:pPr>
      <w:bookmarkStart w:id="4" w:name="O_1049335"/>
      <w:bookmarkEnd w:id="4"/>
      <w:r w:rsidRPr="00F35753">
        <w:t>Assessment Conditions</w:t>
      </w:r>
    </w:p>
    <w:p w:rsidR="00000000" w:rsidRPr="00F35753" w:rsidP="00922285">
      <w:pPr>
        <w:pStyle w:val="BodyText"/>
      </w:pPr>
      <w:r w:rsidRPr="00F35753">
        <w:t xml:space="preserve">Assessment of skills must take place under the following conditions: </w:t>
      </w:r>
    </w:p>
    <w:p w:rsidR="00000000" w:rsidRPr="00F35753" w:rsidP="00F35753">
      <w:pPr>
        <w:pStyle w:val="ListBullet"/>
      </w:pPr>
      <w:r w:rsidRPr="00F35753">
        <w:t xml:space="preserve">physical </w:t>
      </w:r>
      <w:r w:rsidRPr="00F35753">
        <w:t>conditions:</w:t>
      </w:r>
    </w:p>
    <w:p w:rsidR="00000000" w:rsidRPr="00F35753" w:rsidP="00F35753">
      <w:pPr>
        <w:pStyle w:val="ListBullet2"/>
      </w:pPr>
      <w:r w:rsidRPr="00F35753">
        <w:t>skills must be demonstrated in a workplace setting or an environment that accurately represents workplace conditions or an incident scene – this includes the use of simulations and scenarios where assessment would be unsafe, impractical or une</w:t>
      </w:r>
      <w:r w:rsidRPr="00F35753">
        <w:t>thical</w:t>
      </w:r>
    </w:p>
    <w:p w:rsidR="00000000" w:rsidRPr="00F35753" w:rsidP="00F35753">
      <w:pPr>
        <w:pStyle w:val="ListBullet"/>
      </w:pPr>
      <w:r w:rsidRPr="00F35753">
        <w:t>resources, equipment and materials:</w:t>
      </w:r>
    </w:p>
    <w:p w:rsidR="00000000" w:rsidRPr="00F35753" w:rsidP="00F35753">
      <w:pPr>
        <w:pStyle w:val="ListBullet2"/>
      </w:pPr>
      <w:r w:rsidRPr="00F35753">
        <w:t>PPE</w:t>
      </w:r>
    </w:p>
    <w:p w:rsidR="00000000" w:rsidRPr="00F35753" w:rsidP="00F35753">
      <w:pPr>
        <w:pStyle w:val="ListBullet2"/>
      </w:pPr>
      <w:r w:rsidRPr="00F35753">
        <w:t xml:space="preserve">field medical and/or recovery tool kit </w:t>
      </w:r>
    </w:p>
    <w:p w:rsidR="00000000" w:rsidRPr="00F35753" w:rsidP="00F35753">
      <w:pPr>
        <w:pStyle w:val="ListBullet2"/>
      </w:pPr>
      <w:r w:rsidRPr="00F35753">
        <w:t>incident scene scenarios involving large animals to address the performance evidence requirements</w:t>
      </w:r>
    </w:p>
    <w:p w:rsidR="00000000" w:rsidRPr="00F35753" w:rsidP="00F35753">
      <w:pPr>
        <w:pStyle w:val="ListBullet"/>
      </w:pPr>
      <w:r w:rsidRPr="00F35753">
        <w:t>relationships:</w:t>
      </w:r>
    </w:p>
    <w:p w:rsidR="00000000" w:rsidRPr="00F35753" w:rsidP="00F35753">
      <w:pPr>
        <w:pStyle w:val="ListBullet2"/>
      </w:pPr>
      <w:r w:rsidRPr="00F35753">
        <w:t>team members.</w:t>
      </w:r>
    </w:p>
    <w:p w:rsidR="00000000" w:rsidRPr="00F35753" w:rsidP="00922285">
      <w:pPr>
        <w:pStyle w:val="BodyText"/>
      </w:pPr>
      <w:r w:rsidRPr="00F35753">
        <w:t>Assessors of this un</w:t>
      </w:r>
      <w:r w:rsidRPr="00F35753">
        <w:t>it must satisfy the requirements for assessors in applicable vocational education and training legislation, frameworks and/or standards.</w:t>
      </w:r>
    </w:p>
    <w:p w:rsidR="00000000" w:rsidRPr="00F35753" w:rsidP="00F35753">
      <w:pPr>
        <w:pStyle w:val="Heading1"/>
      </w:pPr>
      <w:bookmarkStart w:id="5" w:name="O_1049338"/>
      <w:bookmarkEnd w:id="5"/>
      <w:r w:rsidRPr="00F35753">
        <w:t>Links</w:t>
      </w:r>
    </w:p>
    <w:p w:rsidR="00000000" w:rsidRPr="00F35753" w:rsidP="00922285">
      <w:pPr>
        <w:pStyle w:val="BodyText"/>
      </w:pPr>
      <w:r w:rsidRPr="00F35753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8C3C2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F35753" w:rsidP="00F35753"/>
    <w:sectPr w:rsidSect="00F357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7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753" w:rsidRPr="00922285" w:rsidP="009222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7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285" w:rsidP="00F357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2285" w:rsidP="00F357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22285" w:rsidP="00F357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7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2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5753" w:rsidRPr="00922285" w:rsidP="009222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7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285" w:rsidRPr="002D2AF8" w:rsidP="00F357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ACMAIM404 Collaborate in planning sedation and anaesthesia of large animals in emergency field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922285" w:rsidP="00F357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B65C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D25C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FAB7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57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57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57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57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57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57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57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57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57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57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57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5753"/>
  </w:style>
  <w:style w:type="character" w:customStyle="1" w:styleId="Heading1Char">
    <w:name w:val="Heading 1 Char"/>
    <w:basedOn w:val="DefaultParagraphFont"/>
    <w:link w:val="Heading1"/>
    <w:rsid w:val="00F357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57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57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575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3575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357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57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35753"/>
    <w:rPr>
      <w:b/>
    </w:rPr>
  </w:style>
  <w:style w:type="character" w:customStyle="1" w:styleId="Heading2Char">
    <w:name w:val="Heading 2 Char"/>
    <w:basedOn w:val="DefaultParagraphFont"/>
    <w:link w:val="Heading2"/>
    <w:rsid w:val="00F357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57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57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57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57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57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57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57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57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57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57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57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57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57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57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57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57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57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57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57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35753"/>
    <w:rPr>
      <w:b/>
      <w:spacing w:val="0"/>
    </w:rPr>
  </w:style>
  <w:style w:type="paragraph" w:customStyle="1" w:styleId="SuperTitle">
    <w:name w:val="SuperTitle"/>
    <w:basedOn w:val="Title"/>
    <w:rsid w:val="00F357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57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57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57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57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57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57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57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57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57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57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57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5753"/>
    <w:rPr>
      <w:i/>
    </w:rPr>
  </w:style>
  <w:style w:type="paragraph" w:styleId="Caption">
    <w:name w:val="caption"/>
    <w:basedOn w:val="BodyText"/>
    <w:next w:val="Normal"/>
    <w:qFormat/>
    <w:rsid w:val="00F357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57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57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5753"/>
  </w:style>
  <w:style w:type="paragraph" w:styleId="TableofFigures">
    <w:name w:val="table of figures"/>
    <w:basedOn w:val="Normal"/>
    <w:next w:val="Normal"/>
    <w:semiHidden/>
    <w:rsid w:val="00F357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57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5753"/>
    <w:rPr>
      <w:rFonts w:ascii="Wingdings" w:hAnsi="Wingdings"/>
    </w:rPr>
  </w:style>
  <w:style w:type="paragraph" w:customStyle="1" w:styleId="TableHeading">
    <w:name w:val="Table Heading"/>
    <w:basedOn w:val="HeadingBase"/>
    <w:rsid w:val="00F357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5753"/>
    <w:rPr>
      <w:color w:val="0033CC"/>
      <w:u w:val="none"/>
    </w:rPr>
  </w:style>
  <w:style w:type="paragraph" w:customStyle="1" w:styleId="BodyTextRight">
    <w:name w:val="Body Text Right"/>
    <w:basedOn w:val="BodyText"/>
    <w:rsid w:val="00F357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57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57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57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57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57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5753"/>
    <w:rPr>
      <w:sz w:val="32"/>
    </w:rPr>
  </w:style>
  <w:style w:type="paragraph" w:customStyle="1" w:styleId="HeadingProcedure">
    <w:name w:val="Heading Procedure"/>
    <w:basedOn w:val="HeadingBase"/>
    <w:next w:val="Normal"/>
    <w:rsid w:val="00F357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5753"/>
    <w:pPr>
      <w:spacing w:before="60" w:after="60"/>
    </w:pPr>
  </w:style>
  <w:style w:type="paragraph" w:styleId="ListContinue">
    <w:name w:val="List Continue"/>
    <w:basedOn w:val="List"/>
    <w:rsid w:val="00F35753"/>
    <w:pPr>
      <w:ind w:firstLine="0"/>
    </w:pPr>
  </w:style>
  <w:style w:type="paragraph" w:customStyle="1" w:styleId="ListNote">
    <w:name w:val="List Note"/>
    <w:basedOn w:val="List"/>
    <w:rsid w:val="00F357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57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57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5753"/>
    <w:rPr>
      <w:rFonts w:ascii="Courier New" w:hAnsi="Courier New"/>
    </w:rPr>
  </w:style>
  <w:style w:type="paragraph" w:customStyle="1" w:styleId="NoteBullet">
    <w:name w:val="Note Bullet"/>
    <w:basedOn w:val="Note"/>
    <w:rsid w:val="00F357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57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57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57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57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57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57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5753"/>
    <w:rPr>
      <w:b/>
      <w:smallCaps/>
    </w:rPr>
  </w:style>
  <w:style w:type="paragraph" w:customStyle="1" w:styleId="TableListNumber">
    <w:name w:val="Table List Number"/>
    <w:basedOn w:val="ListNumber"/>
    <w:rsid w:val="00F357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57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5753"/>
    <w:pPr>
      <w:numPr>
        <w:numId w:val="9"/>
      </w:numPr>
    </w:pPr>
  </w:style>
  <w:style w:type="paragraph" w:customStyle="1" w:styleId="ListAlpha2">
    <w:name w:val="List Alpha 2"/>
    <w:basedOn w:val="List2"/>
    <w:rsid w:val="00F35753"/>
    <w:pPr>
      <w:numPr>
        <w:numId w:val="8"/>
      </w:numPr>
    </w:pPr>
  </w:style>
  <w:style w:type="paragraph" w:styleId="List2">
    <w:name w:val="List 2"/>
    <w:basedOn w:val="BodyText"/>
    <w:rsid w:val="00F357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57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57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57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57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57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5753"/>
    <w:pPr>
      <w:numPr>
        <w:numId w:val="4"/>
      </w:numPr>
    </w:pPr>
  </w:style>
  <w:style w:type="paragraph" w:styleId="ListContinue2">
    <w:name w:val="List Continue 2"/>
    <w:basedOn w:val="List2"/>
    <w:rsid w:val="00F35753"/>
    <w:pPr>
      <w:ind w:firstLine="0"/>
    </w:pPr>
  </w:style>
  <w:style w:type="paragraph" w:styleId="ListContinue3">
    <w:name w:val="List Continue 3"/>
    <w:basedOn w:val="List3"/>
    <w:rsid w:val="00F35753"/>
    <w:pPr>
      <w:ind w:left="1021" w:firstLine="0"/>
    </w:pPr>
  </w:style>
  <w:style w:type="paragraph" w:styleId="ListContinue4">
    <w:name w:val="List Continue 4"/>
    <w:basedOn w:val="List4"/>
    <w:rsid w:val="00F35753"/>
    <w:pPr>
      <w:ind w:firstLine="0"/>
    </w:pPr>
  </w:style>
  <w:style w:type="paragraph" w:styleId="ListContinue5">
    <w:name w:val="List Continue 5"/>
    <w:basedOn w:val="List5"/>
    <w:rsid w:val="00F35753"/>
    <w:pPr>
      <w:ind w:firstLine="0"/>
    </w:pPr>
  </w:style>
  <w:style w:type="paragraph" w:styleId="ListNumber3">
    <w:name w:val="List Number 3"/>
    <w:basedOn w:val="List3"/>
    <w:rsid w:val="00F35753"/>
    <w:pPr>
      <w:numPr>
        <w:numId w:val="5"/>
      </w:numPr>
    </w:pPr>
  </w:style>
  <w:style w:type="paragraph" w:styleId="ListNumber4">
    <w:name w:val="List Number 4"/>
    <w:basedOn w:val="List4"/>
    <w:rsid w:val="00F35753"/>
    <w:pPr>
      <w:numPr>
        <w:numId w:val="6"/>
      </w:numPr>
    </w:pPr>
  </w:style>
  <w:style w:type="paragraph" w:styleId="ListNumber5">
    <w:name w:val="List Number 5"/>
    <w:basedOn w:val="List5"/>
    <w:rsid w:val="00F35753"/>
    <w:pPr>
      <w:numPr>
        <w:numId w:val="7"/>
      </w:numPr>
    </w:pPr>
  </w:style>
  <w:style w:type="paragraph" w:styleId="BlockText">
    <w:name w:val="Block Text"/>
    <w:basedOn w:val="Normal"/>
    <w:rsid w:val="00F357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57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5753"/>
    <w:rPr>
      <w:sz w:val="16"/>
      <w:vertAlign w:val="superscript"/>
    </w:rPr>
  </w:style>
  <w:style w:type="character" w:customStyle="1" w:styleId="Symbols">
    <w:name w:val="Symbols"/>
    <w:basedOn w:val="DefaultParagraphFont"/>
    <w:rsid w:val="00F35753"/>
    <w:rPr>
      <w:rFonts w:ascii="Symbol" w:hAnsi="Symbol"/>
    </w:rPr>
  </w:style>
  <w:style w:type="character" w:customStyle="1" w:styleId="MenuOptions">
    <w:name w:val="Menu Options"/>
    <w:basedOn w:val="DefaultParagraphFont"/>
    <w:rsid w:val="00F357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5753"/>
    <w:rPr>
      <w:b/>
    </w:rPr>
  </w:style>
  <w:style w:type="character" w:customStyle="1" w:styleId="Underlined">
    <w:name w:val="Underlined"/>
    <w:basedOn w:val="DefaultParagraphFont"/>
    <w:rsid w:val="00F35753"/>
    <w:rPr>
      <w:u w:val="single"/>
    </w:rPr>
  </w:style>
  <w:style w:type="paragraph" w:customStyle="1" w:styleId="TableBodyTextRight">
    <w:name w:val="Table Body Text Right"/>
    <w:basedOn w:val="TableBodyText"/>
    <w:rsid w:val="00F357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5753"/>
    <w:rPr>
      <w:sz w:val="18"/>
    </w:rPr>
  </w:style>
  <w:style w:type="paragraph" w:customStyle="1" w:styleId="BodySmallRight">
    <w:name w:val="Body Small Right"/>
    <w:basedOn w:val="BodyTextRight"/>
    <w:rsid w:val="00F35753"/>
    <w:rPr>
      <w:sz w:val="18"/>
      <w:szCs w:val="18"/>
    </w:rPr>
  </w:style>
  <w:style w:type="paragraph" w:customStyle="1" w:styleId="MarginEdition">
    <w:name w:val="Margin Edition"/>
    <w:basedOn w:val="MarginNote"/>
    <w:rsid w:val="00F357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5753"/>
    <w:rPr>
      <w:sz w:val="2"/>
      <w:szCs w:val="2"/>
    </w:rPr>
  </w:style>
  <w:style w:type="character" w:customStyle="1" w:styleId="Small">
    <w:name w:val="Small"/>
    <w:basedOn w:val="DefaultParagraphFont"/>
    <w:rsid w:val="00F35753"/>
    <w:rPr>
      <w:sz w:val="16"/>
    </w:rPr>
  </w:style>
  <w:style w:type="paragraph" w:customStyle="1" w:styleId="WideTable">
    <w:name w:val="Wide Table"/>
    <w:basedOn w:val="Normal"/>
    <w:rsid w:val="00F357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5753"/>
  </w:style>
  <w:style w:type="paragraph" w:styleId="Quote">
    <w:name w:val="Quote"/>
    <w:basedOn w:val="Heading1"/>
    <w:link w:val="QuoteChar"/>
    <w:qFormat/>
    <w:rsid w:val="00F357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57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5753"/>
    <w:pPr>
      <w:pageBreakBefore/>
    </w:pPr>
  </w:style>
  <w:style w:type="paragraph" w:customStyle="1" w:styleId="Border">
    <w:name w:val="Border"/>
    <w:basedOn w:val="Normal"/>
    <w:qFormat/>
    <w:rsid w:val="00F357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57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57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57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57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57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57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57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57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5753"/>
    <w:rPr>
      <w:u w:val="single"/>
    </w:rPr>
  </w:style>
  <w:style w:type="character" w:customStyle="1" w:styleId="BoldandItalics">
    <w:name w:val="Bold and Italics"/>
    <w:qFormat/>
    <w:rsid w:val="00F35753"/>
    <w:rPr>
      <w:b/>
      <w:i/>
      <w:u w:val="none"/>
    </w:rPr>
  </w:style>
  <w:style w:type="paragraph" w:styleId="BalloonText">
    <w:name w:val="Balloon Text"/>
    <w:basedOn w:val="Normal"/>
    <w:link w:val="BalloonTextChar"/>
    <w:rsid w:val="00F357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57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57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57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57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57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575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222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529</Words>
  <Characters>3485</Characters>
  <Application>Microsoft Office Word</Application>
  <DocSecurity>0</DocSecurity>
  <Lines>89</Lines>
  <Paragraphs>69</Paragraphs>
  <ScaleCrop>false</ScaleCrop>
  <Company>Author-it Software Corporation Ltd.</Company>
  <LinksUpToDate>false</LinksUpToDate>
  <CharactersWithSpaces>3945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ACMAIM404 Collaborate in planning sedation and anaesthesia of large animals in emergency field situations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2022-07-16T08:39:00Z</dcterms:created>
  <dcterms:modified xsi:type="dcterms:W3CDTF">2022-07-16T08:39:00Z</dcterms:modified>
</cp:coreProperties>
</file>