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FF2" w:rsidP="00036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ACMACR409 Prepare and present animal control and regulation case</w:t>
      </w:r>
      <w:r>
        <w:fldChar w:fldCharType="end"/>
      </w:r>
    </w:p>
    <w:p w:rsidR="00036FF2" w:rsidP="00036FF2">
      <w:pPr>
        <w:pStyle w:val="Version"/>
        <w:sectPr w:rsidSect="00ED5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508" w:rsidP="00ED5508">
      <w:pPr>
        <w:pStyle w:val="SuperHeading"/>
      </w:pPr>
      <w:r w:rsidRPr="00ED5508">
        <w:t>ACMACR409 Prepare and present animal control and regulation case</w:t>
      </w:r>
    </w:p>
    <w:p w:rsidR="00000000" w:rsidRPr="00ED5508" w:rsidP="00ED5508">
      <w:pPr>
        <w:pStyle w:val="Heading1"/>
      </w:pPr>
      <w:bookmarkStart w:id="1" w:name="O_855526"/>
      <w:bookmarkEnd w:id="1"/>
      <w:r w:rsidRPr="00ED55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rPr>
                <w:rStyle w:val="SpecialBold"/>
              </w:rPr>
              <w:t>Comments</w:t>
            </w:r>
          </w:p>
        </w:tc>
      </w:tr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t>This version released with ACM Animal Care and Management Training Package Version 1.0.</w:t>
            </w:r>
          </w:p>
        </w:tc>
      </w:tr>
    </w:tbl>
    <w:p w:rsidR="00000000" w:rsidRPr="00ED5508" w:rsidP="00ED5508">
      <w:pPr>
        <w:pStyle w:val="BodyText"/>
      </w:pPr>
    </w:p>
    <w:p w:rsidR="00000000" w:rsidRPr="00ED5508" w:rsidP="00ED5508">
      <w:pPr>
        <w:pStyle w:val="AllowPageBreak"/>
      </w:pPr>
    </w:p>
    <w:p w:rsidR="00000000" w:rsidRPr="00ED5508" w:rsidP="00ED5508">
      <w:pPr>
        <w:pStyle w:val="Heading1"/>
      </w:pPr>
      <w:bookmarkStart w:id="2" w:name="O_855527"/>
      <w:bookmarkEnd w:id="2"/>
      <w:r w:rsidRPr="00ED5508">
        <w:t>Application</w:t>
      </w:r>
    </w:p>
    <w:p w:rsidR="00000000" w:rsidRPr="00ED5508" w:rsidP="00036FF2">
      <w:pPr>
        <w:pStyle w:val="BodyText"/>
      </w:pPr>
      <w:r w:rsidRPr="00ED5508">
        <w:t>This unit of competency describes the skills and knowledge required to conduct interviews, prepare and present evidence for animal control and regulation cases.</w:t>
      </w:r>
    </w:p>
    <w:p w:rsidR="00000000" w:rsidRPr="00ED5508" w:rsidP="00036FF2">
      <w:pPr>
        <w:pStyle w:val="BodyText"/>
      </w:pPr>
      <w:r w:rsidRPr="00ED5508">
        <w:t>This unit applies to individuals who work in animal care and management roles where they are re</w:t>
      </w:r>
      <w:r w:rsidRPr="00ED5508">
        <w:t>quired to prepare and present evidence for animal control and regulation cases.</w:t>
      </w:r>
    </w:p>
    <w:p w:rsidR="00000000" w:rsidRPr="00ED5508" w:rsidP="00036FF2">
      <w:pPr>
        <w:pStyle w:val="BodyText"/>
      </w:pPr>
      <w:r w:rsidRPr="00ED5508">
        <w:t>No occupational licensing, legislative or certification requirements apply to this unit at the time of publication.</w:t>
      </w:r>
    </w:p>
    <w:p w:rsidR="00000000" w:rsidRPr="00ED5508" w:rsidP="00ED5508">
      <w:pPr>
        <w:pStyle w:val="Heading1"/>
      </w:pPr>
      <w:bookmarkStart w:id="3" w:name="O_855528"/>
      <w:bookmarkEnd w:id="3"/>
      <w:r w:rsidRPr="00ED5508">
        <w:t>Pre-requisite Unit</w:t>
      </w:r>
    </w:p>
    <w:p w:rsidR="00000000" w:rsidRPr="00ED5508" w:rsidP="00036FF2">
      <w:pPr>
        <w:pStyle w:val="BodyText"/>
      </w:pPr>
      <w:r w:rsidRPr="00ED5508">
        <w:t>Nil</w:t>
      </w:r>
    </w:p>
    <w:p w:rsidR="00000000" w:rsidRPr="00ED5508" w:rsidP="00ED5508">
      <w:pPr>
        <w:pStyle w:val="Heading1"/>
      </w:pPr>
      <w:bookmarkStart w:id="4" w:name="O_855530"/>
      <w:bookmarkEnd w:id="4"/>
      <w:r w:rsidRPr="00ED5508">
        <w:t>Unit Sector</w:t>
      </w:r>
    </w:p>
    <w:p w:rsidR="00000000" w:rsidRPr="00ED5508" w:rsidP="00036FF2">
      <w:pPr>
        <w:pStyle w:val="BodyText"/>
      </w:pPr>
      <w:r w:rsidRPr="00ED5508">
        <w:t>Animal Control and Regulation (ACR)</w:t>
      </w:r>
    </w:p>
    <w:p w:rsidR="00000000" w:rsidRPr="00ED5508" w:rsidP="00ED5508">
      <w:pPr>
        <w:pStyle w:val="Heading1"/>
      </w:pPr>
      <w:bookmarkStart w:id="5" w:name="O_855531"/>
      <w:bookmarkEnd w:id="5"/>
      <w:r w:rsidRPr="00ED55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rPr>
                <w:rStyle w:val="SpecialBold"/>
              </w:rPr>
              <w:t>Performance Criteria</w:t>
            </w:r>
          </w:p>
        </w:tc>
      </w:tr>
      <w:tr w:rsidTr="00036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rPr>
                <w:rStyle w:val="Emphasis"/>
              </w:rPr>
              <w:t>Performance criteria describe the performance needed to demonstrate achievement of t</w:t>
            </w:r>
            <w:r w:rsidRPr="00ED5508">
              <w:rPr>
                <w:rStyle w:val="Emphasis"/>
              </w:rPr>
              <w:t>he element.</w:t>
            </w:r>
          </w:p>
        </w:tc>
      </w:tr>
      <w:tr w:rsidTr="00036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1. Conduct interview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t xml:space="preserve">1.1 Determine purpose of interview </w:t>
            </w:r>
          </w:p>
          <w:p w:rsidR="00000000" w:rsidRPr="00ED5508" w:rsidP="00ED5508">
            <w:pPr>
              <w:pStyle w:val="BodyText"/>
            </w:pPr>
            <w:r w:rsidRPr="00ED5508">
              <w:t>1.2 Select and prepare venue, equipment and personnel for interview according to workplace and legislative requirements</w:t>
            </w:r>
          </w:p>
          <w:p w:rsidR="00000000" w:rsidRPr="00ED5508" w:rsidP="00ED5508">
            <w:pPr>
              <w:pStyle w:val="BodyText"/>
            </w:pPr>
            <w:r w:rsidRPr="00ED5508">
              <w:t>1.3 Inform interviewee of the interview of their rights according to legislative requirements</w:t>
            </w:r>
          </w:p>
          <w:p w:rsidR="00000000" w:rsidRPr="00ED5508" w:rsidP="00ED5508">
            <w:pPr>
              <w:pStyle w:val="BodyText"/>
            </w:pPr>
            <w:r w:rsidRPr="00ED5508">
              <w:t xml:space="preserve">1.4 Ask comprehensive questions relevant to the situation and </w:t>
            </w:r>
            <w:r w:rsidRPr="00ED5508">
              <w:t>interviewee using appropriate questioning techniques and active listening skills</w:t>
            </w:r>
          </w:p>
          <w:p w:rsidR="00000000" w:rsidRPr="00ED5508" w:rsidP="00ED5508">
            <w:pPr>
              <w:pStyle w:val="BodyText"/>
            </w:pPr>
            <w:r w:rsidRPr="00ED5508">
              <w:t>1.5 Record intervie</w:t>
            </w:r>
            <w:r w:rsidRPr="00ED5508">
              <w:t>w and take statement according to workplace and legislative requirements</w:t>
            </w:r>
          </w:p>
          <w:p w:rsidR="00000000" w:rsidRPr="00ED5508" w:rsidP="00ED5508">
            <w:pPr>
              <w:pStyle w:val="BodyText"/>
            </w:pPr>
            <w:r w:rsidRPr="00ED5508">
              <w:t>1.6 Review and clarify information obtained from the interview to ensure relevance and sufficiency</w:t>
            </w:r>
          </w:p>
          <w:p w:rsidR="00000000" w:rsidRPr="00ED5508" w:rsidP="00ED5508">
            <w:pPr>
              <w:pStyle w:val="BodyText"/>
            </w:pPr>
            <w:r w:rsidRPr="00ED5508">
              <w:t>1.7 Produce record of interview in appropriate format and according to workplace and</w:t>
            </w:r>
            <w:r w:rsidRPr="00ED5508">
              <w:t xml:space="preserve"> legislative requirements once interview is concluded </w:t>
            </w:r>
          </w:p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1.8 Seek assistance from supervisor and experts where required</w:t>
            </w:r>
          </w:p>
        </w:tc>
      </w:tr>
      <w:tr w:rsidTr="00036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2. Prepare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t xml:space="preserve">2.1 Collect, collate and record all related information </w:t>
            </w:r>
          </w:p>
          <w:p w:rsidR="00000000" w:rsidRPr="00ED5508" w:rsidP="00ED5508">
            <w:pPr>
              <w:pStyle w:val="BodyText"/>
            </w:pPr>
            <w:r w:rsidRPr="00ED5508">
              <w:t>2.2 Analyse information to confirm its authenticity and reli</w:t>
            </w:r>
            <w:r w:rsidRPr="00ED5508">
              <w:t>ability as evidence and to identify further evidence to be collected</w:t>
            </w:r>
          </w:p>
          <w:p w:rsidR="00000000" w:rsidRPr="00ED5508" w:rsidP="00ED5508">
            <w:pPr>
              <w:pStyle w:val="BodyText"/>
            </w:pPr>
            <w:r w:rsidRPr="00ED5508">
              <w:t xml:space="preserve">2.3 Separate and retain non-admissible evidence </w:t>
            </w:r>
          </w:p>
          <w:p w:rsidR="00000000" w:rsidRPr="00ED5508" w:rsidP="00ED5508">
            <w:pPr>
              <w:pStyle w:val="BodyText"/>
            </w:pPr>
            <w:r w:rsidRPr="00ED5508">
              <w:t>2.4 Prepare admissible evidence and review to confirm if sufficient to proceed to prosecution</w:t>
            </w:r>
          </w:p>
          <w:p w:rsidR="00000000" w:rsidRPr="00ED5508" w:rsidP="00ED5508">
            <w:pPr>
              <w:pStyle w:val="BodyText"/>
            </w:pPr>
            <w:r w:rsidRPr="00ED5508">
              <w:t>2.5 Secure and record all evidence according</w:t>
            </w:r>
            <w:r w:rsidRPr="00ED5508">
              <w:t xml:space="preserve"> to workplace and legislative requirements</w:t>
            </w:r>
          </w:p>
          <w:p w:rsidR="00000000" w:rsidRPr="00ED5508" w:rsidP="00ED5508">
            <w:pPr>
              <w:pStyle w:val="BodyText"/>
            </w:pPr>
            <w:r w:rsidRPr="00ED5508">
              <w:t xml:space="preserve">2.6 Coordinate witnesses </w:t>
            </w:r>
          </w:p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2.7 Develop a brief of evidence that contains the required information and addresses all elements of the offence</w:t>
            </w:r>
          </w:p>
        </w:tc>
      </w:tr>
      <w:tr w:rsidTr="00036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3. Present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t>3.1 Confirm arrangements, role and involvement in pro</w:t>
            </w:r>
            <w:r w:rsidRPr="00ED5508">
              <w:t xml:space="preserve">ceedings </w:t>
            </w:r>
          </w:p>
          <w:p w:rsidR="00000000" w:rsidRPr="00ED5508" w:rsidP="00ED5508">
            <w:pPr>
              <w:pStyle w:val="BodyText"/>
            </w:pPr>
            <w:r w:rsidRPr="00ED5508">
              <w:t>3.2 Prepare documentation and exhibits according to workplace and legislative requirements</w:t>
            </w:r>
          </w:p>
          <w:p w:rsidR="00000000" w:rsidRPr="00ED5508" w:rsidP="00ED5508">
            <w:pPr>
              <w:pStyle w:val="BodyText"/>
            </w:pPr>
            <w:r w:rsidRPr="00ED5508">
              <w:t xml:space="preserve">3.3 Adhere to protocols and rules of evidence relevant to the organisation and case </w:t>
            </w:r>
          </w:p>
          <w:p w:rsidR="00000000" w:rsidRPr="00ED5508" w:rsidP="00ED5508">
            <w:pPr>
              <w:pStyle w:val="BodyText"/>
            </w:pPr>
            <w:r w:rsidRPr="00ED5508">
              <w:t>3.4 Present evidence in a clear, concise and articulate manner</w:t>
            </w:r>
          </w:p>
          <w:p w:rsidR="00000000" w:rsidRPr="00ED5508" w:rsidP="00ED5508">
            <w:pPr>
              <w:pStyle w:val="BodyText"/>
            </w:pPr>
            <w:r w:rsidRPr="00ED5508">
              <w:t>3.5 Note and file outcomes of the proceedings and complete reports where required according to workplace and legislative requirements</w:t>
            </w:r>
          </w:p>
        </w:tc>
      </w:tr>
    </w:tbl>
    <w:p w:rsidR="00000000" w:rsidRPr="00ED5508" w:rsidP="00ED5508">
      <w:pPr>
        <w:pStyle w:val="Heading4"/>
      </w:pPr>
    </w:p>
    <w:p w:rsidR="00000000" w:rsidRPr="00ED5508" w:rsidP="00ED5508">
      <w:pPr>
        <w:pStyle w:val="Heading1"/>
      </w:pPr>
      <w:bookmarkStart w:id="6" w:name="O_855532"/>
      <w:bookmarkEnd w:id="6"/>
      <w:r w:rsidRPr="00ED5508">
        <w:t>Foundation Skills</w:t>
      </w:r>
    </w:p>
    <w:p w:rsidR="00000000" w:rsidRPr="00036FF2" w:rsidP="00036FF2">
      <w:pPr>
        <w:pStyle w:val="BodyText"/>
        <w:rPr>
          <w:i/>
        </w:rPr>
      </w:pPr>
      <w:r w:rsidRPr="00036FF2">
        <w:rPr>
          <w:rStyle w:val="Emphasis"/>
        </w:rPr>
        <w:t>This section describes those language, literacy, numeracy and employment skills that a</w:t>
      </w:r>
      <w:r w:rsidRPr="00036FF2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rPr>
                <w:rStyle w:val="SpecialBold"/>
              </w:rPr>
              <w:t>Description</w:t>
            </w:r>
          </w:p>
        </w:tc>
      </w:tr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ListBullet"/>
              <w:rPr>
                <w:lang w:val="en-NZ"/>
              </w:rPr>
            </w:pPr>
            <w:r w:rsidRPr="00ED5508">
              <w:t>Access and interpret information relating to animal control and regulation cases</w:t>
            </w:r>
          </w:p>
        </w:tc>
      </w:tr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ListBullet"/>
            </w:pPr>
            <w:r w:rsidRPr="00ED5508">
              <w:t>Play a lead role in situations requiring effective collaboration, demonstrating effective presentation skills</w:t>
            </w:r>
          </w:p>
          <w:p w:rsidR="00000000" w:rsidRPr="00ED5508" w:rsidP="00ED5508">
            <w:pPr>
              <w:pStyle w:val="ListBullet"/>
            </w:pPr>
            <w:r w:rsidRPr="00ED5508">
              <w:t>Recognise importance of taking audience, purpose and contextual factors into account when making decisions about what to communicate with whom, wh</w:t>
            </w:r>
            <w:r w:rsidRPr="00ED5508">
              <w:t>y and how</w:t>
            </w:r>
          </w:p>
        </w:tc>
      </w:tr>
    </w:tbl>
    <w:p w:rsidR="00000000" w:rsidRPr="00ED5508" w:rsidP="00ED5508">
      <w:pPr>
        <w:pStyle w:val="BodyText"/>
      </w:pPr>
    </w:p>
    <w:p w:rsidR="00000000" w:rsidRPr="00ED5508" w:rsidP="00ED5508">
      <w:pPr>
        <w:pStyle w:val="AllowPageBreak"/>
      </w:pPr>
    </w:p>
    <w:p w:rsidR="00000000" w:rsidRPr="00ED5508" w:rsidP="00ED5508">
      <w:pPr>
        <w:pStyle w:val="Heading1"/>
      </w:pPr>
      <w:bookmarkStart w:id="7" w:name="O_855534"/>
      <w:bookmarkEnd w:id="7"/>
      <w:r w:rsidRPr="00ED55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rPr>
                <w:rStyle w:val="SpecialBold"/>
              </w:rPr>
              <w:t>Equivalence status</w:t>
            </w:r>
          </w:p>
        </w:tc>
      </w:tr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ACMACR409 Prepare and present animal control and regulation case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ACMACR409A Prepare and present animal control and regulation case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t>Equivalent unit</w:t>
            </w:r>
          </w:p>
        </w:tc>
      </w:tr>
    </w:tbl>
    <w:p w:rsidR="00000000" w:rsidRPr="00ED5508" w:rsidP="00ED5508">
      <w:pPr>
        <w:pStyle w:val="BodyText"/>
      </w:pPr>
    </w:p>
    <w:p w:rsidR="00000000" w:rsidRPr="00ED5508" w:rsidP="00ED5508">
      <w:pPr>
        <w:pStyle w:val="AllowPageBreak"/>
      </w:pPr>
    </w:p>
    <w:p w:rsidR="00000000" w:rsidRPr="00ED5508" w:rsidP="00ED5508">
      <w:pPr>
        <w:pStyle w:val="Heading1"/>
      </w:pPr>
      <w:bookmarkStart w:id="8" w:name="O_855541"/>
      <w:bookmarkEnd w:id="8"/>
      <w:r w:rsidRPr="00ED5508">
        <w:t>Links</w:t>
      </w:r>
    </w:p>
    <w:p w:rsidR="00000000" w:rsidRPr="00ED5508" w:rsidP="00036FF2">
      <w:pPr>
        <w:pStyle w:val="BodyText"/>
      </w:pPr>
      <w:r w:rsidRPr="00ED55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369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D5508" w:rsidP="00036FF2">
      <w:pPr>
        <w:pStyle w:val="BodyText"/>
        <w:sectPr w:rsidSect="00ED55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5508" w:rsidP="00ED5508">
      <w:pPr>
        <w:pStyle w:val="SuperHeading"/>
      </w:pPr>
      <w:r w:rsidRPr="00ED5508">
        <w:t>Assessment Requirements for ACMACR409 Prepare and present animal control and regulation case</w:t>
      </w:r>
    </w:p>
    <w:p w:rsidR="00000000" w:rsidRPr="00ED5508" w:rsidP="00ED5508">
      <w:pPr>
        <w:pStyle w:val="Heading1"/>
      </w:pPr>
      <w:bookmarkStart w:id="9" w:name="O_855536"/>
      <w:bookmarkEnd w:id="9"/>
      <w:r w:rsidRPr="00ED55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rPr>
                <w:rStyle w:val="SpecialBold"/>
              </w:rPr>
              <w:t>Comments</w:t>
            </w:r>
          </w:p>
        </w:tc>
      </w:tr>
      <w:tr w:rsidTr="00ED5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508">
            <w:pPr>
              <w:pStyle w:val="BodyText"/>
              <w:rPr>
                <w:lang w:val="en-NZ"/>
              </w:rPr>
            </w:pPr>
            <w:r w:rsidRPr="00ED55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508" w:rsidP="00ED5508">
            <w:pPr>
              <w:pStyle w:val="BodyText"/>
            </w:pPr>
            <w:r w:rsidRPr="00ED5508">
              <w:t>This version released with ACM Animal Care and Management Training Package Version 1.0.</w:t>
            </w:r>
          </w:p>
        </w:tc>
      </w:tr>
    </w:tbl>
    <w:p w:rsidR="00000000" w:rsidRPr="00ED5508" w:rsidP="00ED5508">
      <w:pPr>
        <w:pStyle w:val="BodyText"/>
      </w:pPr>
    </w:p>
    <w:p w:rsidR="00000000" w:rsidRPr="00ED5508" w:rsidP="00ED5508">
      <w:pPr>
        <w:pStyle w:val="AllowPageBreak"/>
      </w:pPr>
    </w:p>
    <w:p w:rsidR="00000000" w:rsidRPr="00ED5508" w:rsidP="00ED5508">
      <w:pPr>
        <w:pStyle w:val="Heading1"/>
      </w:pPr>
      <w:bookmarkStart w:id="10" w:name="O_855537"/>
      <w:bookmarkEnd w:id="10"/>
      <w:r w:rsidRPr="00ED5508">
        <w:t>Performance Evidence</w:t>
      </w:r>
    </w:p>
    <w:p w:rsidR="00000000" w:rsidRPr="00ED5508" w:rsidP="00036FF2">
      <w:pPr>
        <w:pStyle w:val="BodyText"/>
      </w:pPr>
      <w:r w:rsidRPr="00ED5508">
        <w:t xml:space="preserve">An individual demonstrating competency must satisfy all of the elements and performance criteria in this unit. </w:t>
      </w:r>
    </w:p>
    <w:p w:rsidR="00000000" w:rsidRPr="00ED5508" w:rsidP="00036FF2">
      <w:pPr>
        <w:pStyle w:val="BodyText"/>
      </w:pPr>
      <w:r w:rsidRPr="00ED5508">
        <w:t>Ther</w:t>
      </w:r>
      <w:r w:rsidRPr="00ED5508">
        <w:t>e must be evidence that the individual has prepared and presented at least one animal control and regulation case including:</w:t>
      </w:r>
    </w:p>
    <w:p w:rsidR="00000000" w:rsidRPr="00ED5508" w:rsidP="00ED5508">
      <w:pPr>
        <w:pStyle w:val="ListBullet"/>
      </w:pPr>
      <w:r w:rsidRPr="00ED5508">
        <w:t>recorded interviews and statements from witnesses, suspects, informants and complainants</w:t>
      </w:r>
    </w:p>
    <w:p w:rsidR="00000000" w:rsidRPr="00ED5508" w:rsidP="00ED5508">
      <w:pPr>
        <w:pStyle w:val="ListBullet"/>
      </w:pPr>
      <w:r w:rsidRPr="00ED5508">
        <w:t xml:space="preserve">gathered information on the case and identified admissible evidence </w:t>
      </w:r>
    </w:p>
    <w:p w:rsidR="00000000" w:rsidRPr="00ED5508" w:rsidP="00ED5508">
      <w:pPr>
        <w:pStyle w:val="ListBullet"/>
      </w:pPr>
      <w:r w:rsidRPr="00ED5508">
        <w:t>communicated effectively with interviewees using active listening and questioning techniques</w:t>
      </w:r>
    </w:p>
    <w:p w:rsidR="00000000" w:rsidRPr="00ED5508" w:rsidP="00ED5508">
      <w:pPr>
        <w:pStyle w:val="ListBullet"/>
      </w:pPr>
      <w:r w:rsidRPr="00ED5508">
        <w:t>followed the rules of evidence and protocols relevant to the case</w:t>
      </w:r>
    </w:p>
    <w:p w:rsidR="00000000" w:rsidRPr="00ED5508" w:rsidP="00ED5508">
      <w:pPr>
        <w:pStyle w:val="ListBullet"/>
      </w:pPr>
      <w:r w:rsidRPr="00ED5508">
        <w:t xml:space="preserve">maintained accurate records </w:t>
      </w:r>
      <w:r w:rsidRPr="00ED5508">
        <w:t>according to organisational policies and procedures.</w:t>
      </w:r>
    </w:p>
    <w:p w:rsidR="00000000" w:rsidRPr="00ED5508" w:rsidP="00ED5508">
      <w:pPr>
        <w:pStyle w:val="AllowPageBreak"/>
      </w:pPr>
    </w:p>
    <w:p w:rsidR="00000000" w:rsidRPr="00ED5508" w:rsidP="00ED5508">
      <w:pPr>
        <w:pStyle w:val="Heading1"/>
      </w:pPr>
      <w:bookmarkStart w:id="11" w:name="O_855538"/>
      <w:bookmarkEnd w:id="11"/>
      <w:r w:rsidRPr="00ED5508">
        <w:t>Knowledge Evidence</w:t>
      </w:r>
    </w:p>
    <w:p w:rsidR="00000000" w:rsidRPr="00ED5508" w:rsidP="00036FF2">
      <w:pPr>
        <w:pStyle w:val="BodyText"/>
      </w:pPr>
      <w:r w:rsidRPr="00ED5508">
        <w:t>An individual must be able to demonstrate the knowledge required to perform the tasks outlined in the elements and performance criteria of this unit. This includes kno</w:t>
      </w:r>
      <w:r w:rsidRPr="00ED5508">
        <w:t>wledge of:</w:t>
      </w:r>
    </w:p>
    <w:p w:rsidR="00000000" w:rsidRPr="00ED5508" w:rsidP="00ED5508">
      <w:pPr>
        <w:pStyle w:val="ListBullet"/>
      </w:pPr>
      <w:r w:rsidRPr="00ED5508">
        <w:t>legislative and organisational requirements for the conduct of interviews, including the use of electronic recording equipment</w:t>
      </w:r>
    </w:p>
    <w:p w:rsidR="00000000" w:rsidRPr="00ED5508" w:rsidP="00ED5508">
      <w:pPr>
        <w:pStyle w:val="ListBullet"/>
      </w:pPr>
      <w:r w:rsidRPr="00ED5508">
        <w:t>legislative and organisational requirements for the documentation of interviews, information and evidence</w:t>
      </w:r>
    </w:p>
    <w:p w:rsidR="00000000" w:rsidRPr="00ED5508" w:rsidP="00ED5508">
      <w:pPr>
        <w:pStyle w:val="ListBullet"/>
      </w:pPr>
      <w:r w:rsidRPr="00ED5508">
        <w:t>court, trib</w:t>
      </w:r>
      <w:r w:rsidRPr="00ED5508">
        <w:t>unal and commission procedures, protocols and processes</w:t>
      </w:r>
    </w:p>
    <w:p w:rsidR="00000000" w:rsidRPr="00ED5508" w:rsidP="00ED5508">
      <w:pPr>
        <w:pStyle w:val="ListBullet"/>
      </w:pPr>
      <w:r w:rsidRPr="00ED5508">
        <w:t>the difference between admissible and non-admissible evidence</w:t>
      </w:r>
    </w:p>
    <w:p w:rsidR="00000000" w:rsidRPr="00ED5508" w:rsidP="00ED5508">
      <w:pPr>
        <w:pStyle w:val="ListBullet"/>
      </w:pPr>
      <w:r w:rsidRPr="00ED5508">
        <w:t>the difference between common law, judicial precedent and legislation.</w:t>
      </w:r>
    </w:p>
    <w:p w:rsidR="00000000" w:rsidRPr="00ED5508" w:rsidP="00ED5508">
      <w:pPr>
        <w:pStyle w:val="AllowPageBreak"/>
      </w:pPr>
    </w:p>
    <w:p w:rsidR="00000000" w:rsidRPr="00ED5508" w:rsidP="00ED5508">
      <w:pPr>
        <w:pStyle w:val="Heading1"/>
      </w:pPr>
      <w:bookmarkStart w:id="12" w:name="O_855539"/>
      <w:bookmarkEnd w:id="12"/>
      <w:r w:rsidRPr="00ED5508">
        <w:t>Assessment Conditions</w:t>
      </w:r>
    </w:p>
    <w:p w:rsidR="00000000" w:rsidRPr="00ED5508" w:rsidP="00036FF2">
      <w:pPr>
        <w:pStyle w:val="BodyText"/>
      </w:pPr>
      <w:r w:rsidRPr="00ED5508">
        <w:t>Assessment of skills must ta</w:t>
      </w:r>
      <w:r w:rsidRPr="00ED5508">
        <w:t xml:space="preserve">ke place under the following conditions: </w:t>
      </w:r>
    </w:p>
    <w:p w:rsidR="00000000" w:rsidRPr="00ED5508" w:rsidP="00ED5508">
      <w:pPr>
        <w:pStyle w:val="ListBullet"/>
      </w:pPr>
      <w:r w:rsidRPr="00ED5508">
        <w:t>physical conditions:</w:t>
      </w:r>
    </w:p>
    <w:p w:rsidR="00000000" w:rsidRPr="00ED5508" w:rsidP="00ED5508">
      <w:pPr>
        <w:pStyle w:val="ListBullet2"/>
      </w:pPr>
      <w:r w:rsidRPr="00ED5508">
        <w:t>skills must be demonstrated in a workplace setting or an environment that accurately represents workplace conditions.</w:t>
      </w:r>
    </w:p>
    <w:p w:rsidR="00000000" w:rsidRPr="00ED5508" w:rsidP="00036FF2">
      <w:pPr>
        <w:pStyle w:val="BodyText"/>
      </w:pPr>
      <w:r w:rsidRPr="00ED5508">
        <w:t>Assessors of this unit must satisfy the requirements for assessors in applicable vocational education and training legislation, frameworks and/or standards.</w:t>
      </w:r>
    </w:p>
    <w:p w:rsidR="00000000" w:rsidRPr="00ED5508" w:rsidP="00ED5508">
      <w:pPr>
        <w:pStyle w:val="Heading1"/>
      </w:pPr>
      <w:bookmarkStart w:id="13" w:name="O_855542"/>
      <w:bookmarkEnd w:id="13"/>
      <w:r w:rsidRPr="00ED5508">
        <w:t>Links</w:t>
      </w:r>
    </w:p>
    <w:p w:rsidR="00000000" w:rsidRPr="00ED5508" w:rsidP="00036FF2">
      <w:pPr>
        <w:pStyle w:val="BodyText"/>
      </w:pPr>
      <w:r w:rsidRPr="00ED5508">
        <w:t>Companion Volumes, including Implementation Guides, are available at VETNet:</w:t>
      </w:r>
      <w:r w:rsidRPr="00ED5508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369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D5508" w:rsidP="00ED5508"/>
    <w:sectPr w:rsidSect="00ED55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08" w:rsidRPr="00036FF2" w:rsidP="00036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FF2" w:rsidP="00ED5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FF2" w:rsidP="00ED5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6FF2" w:rsidP="00ED55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08" w:rsidP="00ED5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6FF2">
      <w:t>Approved</w:t>
    </w:r>
    <w:r w:rsidR="00036F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6F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6FF2">
      <w:rPr>
        <w:noProof/>
      </w:rPr>
      <w:t>4</w:t>
    </w:r>
    <w:r>
      <w:rPr>
        <w:noProof/>
      </w:rPr>
      <w:fldChar w:fldCharType="end"/>
    </w:r>
  </w:p>
  <w:p w:rsidR="00ED5508" w:rsidP="00ED5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6F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6FF2">
      <w:t>Skills Insight</w:t>
    </w:r>
    <w:r w:rsidR="00036FF2">
      <w:fldChar w:fldCharType="end"/>
    </w:r>
  </w:p>
  <w:p w:rsidR="00ED5508" w:rsidP="00ED5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508" w:rsidRPr="00036FF2" w:rsidP="00036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FF2" w:rsidRPr="002D2AF8" w:rsidP="00ED5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ACMACR409 Prepare and present animal control and regulation 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6FF2" w:rsidP="00ED55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508" w:rsidRPr="002D2AF8" w:rsidP="00ED5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6FF2">
      <w:t>ACMACR409 Prepare and present animal control and regulation case</w:t>
    </w:r>
    <w:r w:rsidR="00036F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6FF2">
      <w:rPr>
        <w:noProof/>
      </w:rPr>
      <w:t>2 March 2025</w:t>
    </w:r>
    <w:r>
      <w:fldChar w:fldCharType="end"/>
    </w:r>
  </w:p>
  <w:p w:rsidR="00ED5508" w:rsidP="00ED5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B2A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426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4D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508"/>
  </w:style>
  <w:style w:type="character" w:customStyle="1" w:styleId="Heading1Char">
    <w:name w:val="Heading 1 Char"/>
    <w:basedOn w:val="DefaultParagraphFont"/>
    <w:link w:val="Heading1"/>
    <w:rsid w:val="00ED5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50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D5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508"/>
    <w:rPr>
      <w:b/>
      <w:spacing w:val="0"/>
    </w:rPr>
  </w:style>
  <w:style w:type="paragraph" w:styleId="ListBullet2">
    <w:name w:val="List Bullet 2"/>
    <w:basedOn w:val="List2"/>
    <w:rsid w:val="00ED55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5508"/>
    <w:rPr>
      <w:i/>
    </w:rPr>
  </w:style>
  <w:style w:type="paragraph" w:customStyle="1" w:styleId="SuperHeading">
    <w:name w:val="SuperHeading"/>
    <w:basedOn w:val="Normal"/>
    <w:rsid w:val="00ED5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5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5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508"/>
  </w:style>
  <w:style w:type="paragraph" w:styleId="TableofFigures">
    <w:name w:val="table of figures"/>
    <w:basedOn w:val="Normal"/>
    <w:next w:val="Normal"/>
    <w:semiHidden/>
    <w:rsid w:val="00ED5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5508"/>
    <w:rPr>
      <w:rFonts w:ascii="Wingdings" w:hAnsi="Wingdings"/>
    </w:rPr>
  </w:style>
  <w:style w:type="paragraph" w:customStyle="1" w:styleId="TableHeading">
    <w:name w:val="Table Heading"/>
    <w:basedOn w:val="HeadingBase"/>
    <w:rsid w:val="00ED5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508"/>
    <w:rPr>
      <w:color w:val="0033CC"/>
      <w:u w:val="none"/>
    </w:rPr>
  </w:style>
  <w:style w:type="paragraph" w:customStyle="1" w:styleId="BodyTextRight">
    <w:name w:val="Body Text Right"/>
    <w:basedOn w:val="BodyText"/>
    <w:rsid w:val="00ED5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508"/>
    <w:rPr>
      <w:sz w:val="32"/>
    </w:rPr>
  </w:style>
  <w:style w:type="paragraph" w:customStyle="1" w:styleId="HeadingProcedure">
    <w:name w:val="Heading Procedure"/>
    <w:basedOn w:val="HeadingBase"/>
    <w:next w:val="Normal"/>
    <w:rsid w:val="00ED5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508"/>
    <w:pPr>
      <w:spacing w:before="60" w:after="60"/>
    </w:pPr>
  </w:style>
  <w:style w:type="paragraph" w:styleId="ListContinue">
    <w:name w:val="List Continue"/>
    <w:basedOn w:val="List"/>
    <w:rsid w:val="00ED5508"/>
    <w:pPr>
      <w:ind w:firstLine="0"/>
    </w:pPr>
  </w:style>
  <w:style w:type="paragraph" w:customStyle="1" w:styleId="ListNote">
    <w:name w:val="List Note"/>
    <w:basedOn w:val="List"/>
    <w:rsid w:val="00ED5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508"/>
    <w:rPr>
      <w:rFonts w:ascii="Courier New" w:hAnsi="Courier New"/>
    </w:rPr>
  </w:style>
  <w:style w:type="paragraph" w:customStyle="1" w:styleId="NoteBullet">
    <w:name w:val="Note Bullet"/>
    <w:basedOn w:val="Note"/>
    <w:rsid w:val="00ED5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5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508"/>
    <w:rPr>
      <w:b/>
      <w:smallCaps/>
    </w:rPr>
  </w:style>
  <w:style w:type="paragraph" w:customStyle="1" w:styleId="TableListNumber">
    <w:name w:val="Table List Number"/>
    <w:basedOn w:val="ListNumber"/>
    <w:rsid w:val="00ED5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508"/>
    <w:pPr>
      <w:numPr>
        <w:numId w:val="9"/>
      </w:numPr>
    </w:pPr>
  </w:style>
  <w:style w:type="paragraph" w:customStyle="1" w:styleId="ListAlpha2">
    <w:name w:val="List Alpha 2"/>
    <w:basedOn w:val="List2"/>
    <w:rsid w:val="00ED5508"/>
    <w:pPr>
      <w:numPr>
        <w:numId w:val="8"/>
      </w:numPr>
    </w:pPr>
  </w:style>
  <w:style w:type="paragraph" w:styleId="List2">
    <w:name w:val="List 2"/>
    <w:basedOn w:val="BodyText"/>
    <w:rsid w:val="00ED5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5508"/>
    <w:pPr>
      <w:numPr>
        <w:numId w:val="4"/>
      </w:numPr>
    </w:pPr>
  </w:style>
  <w:style w:type="paragraph" w:styleId="ListContinue2">
    <w:name w:val="List Continue 2"/>
    <w:basedOn w:val="List2"/>
    <w:rsid w:val="00ED5508"/>
    <w:pPr>
      <w:ind w:firstLine="0"/>
    </w:pPr>
  </w:style>
  <w:style w:type="paragraph" w:styleId="ListContinue3">
    <w:name w:val="List Continue 3"/>
    <w:basedOn w:val="List3"/>
    <w:rsid w:val="00ED5508"/>
    <w:pPr>
      <w:ind w:left="1021" w:firstLine="0"/>
    </w:pPr>
  </w:style>
  <w:style w:type="paragraph" w:styleId="ListContinue4">
    <w:name w:val="List Continue 4"/>
    <w:basedOn w:val="List4"/>
    <w:rsid w:val="00ED5508"/>
    <w:pPr>
      <w:ind w:firstLine="0"/>
    </w:pPr>
  </w:style>
  <w:style w:type="paragraph" w:styleId="ListContinue5">
    <w:name w:val="List Continue 5"/>
    <w:basedOn w:val="List5"/>
    <w:rsid w:val="00ED5508"/>
    <w:pPr>
      <w:ind w:firstLine="0"/>
    </w:pPr>
  </w:style>
  <w:style w:type="paragraph" w:styleId="ListNumber3">
    <w:name w:val="List Number 3"/>
    <w:basedOn w:val="List3"/>
    <w:rsid w:val="00ED5508"/>
    <w:pPr>
      <w:numPr>
        <w:numId w:val="5"/>
      </w:numPr>
    </w:pPr>
  </w:style>
  <w:style w:type="paragraph" w:styleId="ListNumber4">
    <w:name w:val="List Number 4"/>
    <w:basedOn w:val="List4"/>
    <w:rsid w:val="00ED5508"/>
    <w:pPr>
      <w:numPr>
        <w:numId w:val="6"/>
      </w:numPr>
    </w:pPr>
  </w:style>
  <w:style w:type="paragraph" w:styleId="ListNumber5">
    <w:name w:val="List Number 5"/>
    <w:basedOn w:val="List5"/>
    <w:rsid w:val="00ED5508"/>
    <w:pPr>
      <w:numPr>
        <w:numId w:val="7"/>
      </w:numPr>
    </w:pPr>
  </w:style>
  <w:style w:type="paragraph" w:styleId="BlockText">
    <w:name w:val="Block Text"/>
    <w:basedOn w:val="Normal"/>
    <w:rsid w:val="00ED5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508"/>
    <w:rPr>
      <w:sz w:val="16"/>
      <w:vertAlign w:val="superscript"/>
    </w:rPr>
  </w:style>
  <w:style w:type="character" w:customStyle="1" w:styleId="Symbols">
    <w:name w:val="Symbols"/>
    <w:basedOn w:val="DefaultParagraphFont"/>
    <w:rsid w:val="00ED5508"/>
    <w:rPr>
      <w:rFonts w:ascii="Symbol" w:hAnsi="Symbol"/>
    </w:rPr>
  </w:style>
  <w:style w:type="character" w:customStyle="1" w:styleId="MenuOptions">
    <w:name w:val="Menu Options"/>
    <w:basedOn w:val="DefaultParagraphFont"/>
    <w:rsid w:val="00ED5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508"/>
    <w:rPr>
      <w:b/>
    </w:rPr>
  </w:style>
  <w:style w:type="character" w:customStyle="1" w:styleId="Underlined">
    <w:name w:val="Underlined"/>
    <w:basedOn w:val="DefaultParagraphFont"/>
    <w:rsid w:val="00ED5508"/>
    <w:rPr>
      <w:u w:val="single"/>
    </w:rPr>
  </w:style>
  <w:style w:type="paragraph" w:customStyle="1" w:styleId="TableBodyTextRight">
    <w:name w:val="Table Body Text Right"/>
    <w:basedOn w:val="TableBodyText"/>
    <w:rsid w:val="00ED5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508"/>
    <w:rPr>
      <w:sz w:val="18"/>
    </w:rPr>
  </w:style>
  <w:style w:type="paragraph" w:customStyle="1" w:styleId="BodySmallRight">
    <w:name w:val="Body Small Right"/>
    <w:basedOn w:val="BodyTextRight"/>
    <w:rsid w:val="00ED5508"/>
    <w:rPr>
      <w:sz w:val="18"/>
      <w:szCs w:val="18"/>
    </w:rPr>
  </w:style>
  <w:style w:type="paragraph" w:customStyle="1" w:styleId="MarginEdition">
    <w:name w:val="Margin Edition"/>
    <w:basedOn w:val="MarginNote"/>
    <w:rsid w:val="00ED5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508"/>
    <w:rPr>
      <w:sz w:val="2"/>
      <w:szCs w:val="2"/>
    </w:rPr>
  </w:style>
  <w:style w:type="character" w:customStyle="1" w:styleId="Small">
    <w:name w:val="Small"/>
    <w:basedOn w:val="DefaultParagraphFont"/>
    <w:rsid w:val="00ED5508"/>
    <w:rPr>
      <w:sz w:val="16"/>
    </w:rPr>
  </w:style>
  <w:style w:type="paragraph" w:customStyle="1" w:styleId="WideTable">
    <w:name w:val="Wide Table"/>
    <w:basedOn w:val="Normal"/>
    <w:rsid w:val="00ED5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508"/>
  </w:style>
  <w:style w:type="paragraph" w:styleId="Quote">
    <w:name w:val="Quote"/>
    <w:basedOn w:val="Heading1"/>
    <w:link w:val="QuoteChar"/>
    <w:qFormat/>
    <w:rsid w:val="00ED5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508"/>
    <w:pPr>
      <w:pageBreakBefore/>
    </w:pPr>
  </w:style>
  <w:style w:type="paragraph" w:customStyle="1" w:styleId="Border">
    <w:name w:val="Border"/>
    <w:basedOn w:val="Normal"/>
    <w:qFormat/>
    <w:rsid w:val="00ED5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508"/>
    <w:rPr>
      <w:u w:val="single"/>
    </w:rPr>
  </w:style>
  <w:style w:type="character" w:customStyle="1" w:styleId="BoldandItalics">
    <w:name w:val="Bold and Italics"/>
    <w:qFormat/>
    <w:rsid w:val="00ED5508"/>
    <w:rPr>
      <w:b/>
      <w:i/>
      <w:u w:val="none"/>
    </w:rPr>
  </w:style>
  <w:style w:type="paragraph" w:styleId="BalloonText">
    <w:name w:val="Balloon Text"/>
    <w:basedOn w:val="Normal"/>
    <w:link w:val="BalloonTextChar"/>
    <w:rsid w:val="00ED5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508"/>
    <w:pPr>
      <w:spacing w:before="0" w:after="0"/>
    </w:pPr>
  </w:style>
  <w:style w:type="paragraph" w:customStyle="1" w:styleId="BodyTextBold">
    <w:name w:val="Body Text Bold"/>
    <w:basedOn w:val="BodyText"/>
    <w:qFormat/>
    <w:rsid w:val="00ED5508"/>
    <w:rPr>
      <w:b/>
    </w:rPr>
  </w:style>
  <w:style w:type="character" w:styleId="Hyperlink">
    <w:name w:val="Hyperlink"/>
    <w:basedOn w:val="DefaultParagraphFont"/>
    <w:uiPriority w:val="99"/>
    <w:unhideWhenUsed/>
    <w:rsid w:val="00036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5475</Characters>
  <Application>Microsoft Office Word</Application>
  <DocSecurity>0</DocSecurity>
  <Lines>171</Lines>
  <Paragraphs>110</Paragraphs>
  <ScaleCrop>false</ScaleCrop>
  <Company>Author-it Software Corporation Ltd.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ACMACR409 Prepare and present animal control and regulation 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