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FFB" w:rsidP="00AD4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ACMACR403 Identify and respond to animal behaviour</w:t>
      </w:r>
      <w:r>
        <w:fldChar w:fldCharType="end"/>
      </w:r>
    </w:p>
    <w:p w:rsidR="00AD4FFB" w:rsidP="00AD4FFB">
      <w:pPr>
        <w:pStyle w:val="Version"/>
        <w:sectPr w:rsidSect="00FD2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2E2A" w:rsidP="00FD2E2A">
      <w:pPr>
        <w:pStyle w:val="SuperHeading"/>
      </w:pPr>
      <w:r w:rsidRPr="00FD2E2A">
        <w:t>ACMACR403 Identify and respond to animal behaviour</w:t>
      </w:r>
    </w:p>
    <w:p w:rsidR="00000000" w:rsidRPr="00FD2E2A" w:rsidP="00FD2E2A">
      <w:pPr>
        <w:pStyle w:val="Heading1"/>
      </w:pPr>
      <w:bookmarkStart w:id="1" w:name="O_1049076"/>
      <w:bookmarkEnd w:id="1"/>
      <w:r w:rsidRPr="00FD2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Comments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This version released with ACM Animal Care and Management Training Package Version 3.0.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This version released with ACM Animal Care and Management Training Package Version 1.0.</w:t>
            </w:r>
          </w:p>
        </w:tc>
      </w:tr>
    </w:tbl>
    <w:p w:rsidR="00000000" w:rsidRPr="00FD2E2A" w:rsidP="00FD2E2A">
      <w:pPr>
        <w:pStyle w:val="BodyText"/>
      </w:pP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2" w:name="O_1049075"/>
      <w:bookmarkEnd w:id="2"/>
      <w:r w:rsidRPr="00FD2E2A">
        <w:t>Application</w:t>
      </w:r>
    </w:p>
    <w:p w:rsidR="00000000" w:rsidRPr="00FD2E2A" w:rsidP="00AD4FFB">
      <w:pPr>
        <w:pStyle w:val="BodyText"/>
      </w:pPr>
      <w:r w:rsidRPr="00FD2E2A">
        <w:t>This unit describes the skills and knowledge required to identify and interpret animal body language and behaviour in an animal control and regulation environment.</w:t>
      </w:r>
    </w:p>
    <w:p w:rsidR="00000000" w:rsidRPr="00FD2E2A" w:rsidP="00AD4FFB">
      <w:pPr>
        <w:pStyle w:val="BodyText"/>
      </w:pPr>
      <w:r w:rsidRPr="00FD2E2A">
        <w:t xml:space="preserve">This unit applies to individuals who are required to identify animals </w:t>
      </w:r>
      <w:r w:rsidRPr="00FD2E2A">
        <w:t>and respond appropriately to their behaviour, as part of an animal control and regulation role.</w:t>
      </w:r>
    </w:p>
    <w:p w:rsidR="00000000" w:rsidRPr="00FD2E2A" w:rsidP="00AD4FFB">
      <w:pPr>
        <w:pStyle w:val="BodyText"/>
      </w:pPr>
      <w:r w:rsidRPr="00FD2E2A">
        <w:t>No licensing, legislative or certification requirements apply to this unit at the time of publication.</w:t>
      </w:r>
    </w:p>
    <w:p w:rsidR="00000000" w:rsidRPr="00FD2E2A" w:rsidP="00FD2E2A">
      <w:pPr>
        <w:pStyle w:val="Heading1"/>
      </w:pPr>
      <w:bookmarkStart w:id="3" w:name="O_1049074"/>
      <w:bookmarkEnd w:id="3"/>
      <w:r w:rsidRPr="00FD2E2A">
        <w:t>Pre-requisite Unit</w:t>
      </w:r>
    </w:p>
    <w:p w:rsidR="00000000" w:rsidRPr="00FD2E2A" w:rsidP="00AD4FFB">
      <w:pPr>
        <w:pStyle w:val="BodyText"/>
      </w:pPr>
      <w:r w:rsidRPr="00FD2E2A">
        <w:t>Nil</w:t>
      </w:r>
    </w:p>
    <w:p w:rsidR="00000000" w:rsidRPr="00FD2E2A" w:rsidP="00FD2E2A">
      <w:pPr>
        <w:pStyle w:val="Heading1"/>
      </w:pPr>
      <w:bookmarkStart w:id="4" w:name="O_1049073"/>
      <w:bookmarkEnd w:id="4"/>
      <w:r w:rsidRPr="00FD2E2A">
        <w:t>Unit Sector</w:t>
      </w:r>
    </w:p>
    <w:p w:rsidR="00000000" w:rsidRPr="00FD2E2A" w:rsidP="00AD4FFB">
      <w:pPr>
        <w:pStyle w:val="BodyText"/>
      </w:pPr>
      <w:r w:rsidRPr="00FD2E2A">
        <w:t>Animal Control and Regulation (ACR)</w:t>
      </w:r>
    </w:p>
    <w:p w:rsidR="00000000" w:rsidRPr="00FD2E2A" w:rsidP="00FD2E2A">
      <w:pPr>
        <w:pStyle w:val="Heading1"/>
      </w:pPr>
      <w:bookmarkStart w:id="5" w:name="O_1049072"/>
      <w:bookmarkEnd w:id="5"/>
      <w:r w:rsidRPr="00FD2E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4F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Performance Criteria</w:t>
            </w:r>
          </w:p>
        </w:tc>
      </w:tr>
      <w:tr w:rsidTr="00AD4F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rPr>
                <w:rStyle w:val="Emphasis"/>
              </w:rPr>
              <w:t>Performance criteria describe the performance needed to demonstrate achie</w:t>
            </w:r>
            <w:r w:rsidRPr="00FD2E2A">
              <w:rPr>
                <w:rStyle w:val="Emphasis"/>
              </w:rPr>
              <w:t>vement of the element.</w:t>
            </w:r>
          </w:p>
        </w:tc>
      </w:tr>
      <w:tr w:rsidTr="00AD4F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1. Recognise and identify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1.1 Identify animal by characteristics, breed, type and group</w:t>
            </w:r>
          </w:p>
          <w:p w:rsidR="00000000" w:rsidRPr="00FD2E2A" w:rsidP="00FD2E2A">
            <w:pPr>
              <w:pStyle w:val="BodyText"/>
            </w:pPr>
            <w:r w:rsidRPr="00FD2E2A">
              <w:t>1.2 Document a brief description, including unique features of the animal</w:t>
            </w:r>
          </w:p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 xml:space="preserve">1.3 Seek assistance from supervisors or peers according to workplace </w:t>
            </w:r>
            <w:r w:rsidRPr="00FD2E2A">
              <w:t>protocols</w:t>
            </w:r>
          </w:p>
        </w:tc>
      </w:tr>
      <w:tr w:rsidTr="00AD4F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2. Identify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2.1 Observe animal and interpret its body language and other behavioural signs</w:t>
            </w:r>
          </w:p>
          <w:p w:rsidR="00000000" w:rsidRPr="00FD2E2A" w:rsidP="00FD2E2A">
            <w:pPr>
              <w:pStyle w:val="BodyText"/>
            </w:pPr>
            <w:r w:rsidRPr="00FD2E2A">
              <w:t xml:space="preserve">2.2 Identify and document temperament, traits, health and wellbeing </w:t>
            </w:r>
            <w:r w:rsidRPr="00FD2E2A">
              <w:t xml:space="preserve">of animal </w:t>
            </w:r>
          </w:p>
          <w:p w:rsidR="00000000" w:rsidRPr="00FD2E2A" w:rsidP="00FD2E2A">
            <w:pPr>
              <w:pStyle w:val="BodyText"/>
            </w:pPr>
            <w:r w:rsidRPr="00FD2E2A">
              <w:t xml:space="preserve">2.3 Assess physical and social environment of animal </w:t>
            </w:r>
          </w:p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 xml:space="preserve">2.4 Determine behaviour of animal, identifying indicators of normal and abnormal behaviour </w:t>
            </w:r>
          </w:p>
        </w:tc>
      </w:tr>
      <w:tr w:rsidTr="00AD4F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3. Assess and respond to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3.1 Assess biosecurity, infection control and hygiene ri</w:t>
            </w:r>
            <w:r w:rsidRPr="00FD2E2A">
              <w:t xml:space="preserve">sks and hazards to the public, self, bystanders and target animals </w:t>
            </w:r>
          </w:p>
          <w:p w:rsidR="00000000" w:rsidRPr="00FD2E2A" w:rsidP="00FD2E2A">
            <w:pPr>
              <w:pStyle w:val="BodyText"/>
            </w:pPr>
            <w:r w:rsidRPr="00FD2E2A">
              <w:t>3.2 Discuss constructive solutions to animal behaviour with owners when appropriate</w:t>
            </w:r>
          </w:p>
          <w:p w:rsidR="00000000" w:rsidRPr="00FD2E2A" w:rsidP="00FD2E2A">
            <w:pPr>
              <w:pStyle w:val="BodyText"/>
            </w:pPr>
            <w:r w:rsidRPr="00FD2E2A">
              <w:t>3.3 Provide owners with referral to specialists according to workplace protocols</w:t>
            </w:r>
          </w:p>
          <w:p w:rsidR="00000000" w:rsidRPr="00FD2E2A" w:rsidP="00FD2E2A">
            <w:pPr>
              <w:pStyle w:val="BodyText"/>
            </w:pPr>
            <w:r w:rsidRPr="00FD2E2A">
              <w:t>3.4 Action statutory re</w:t>
            </w:r>
            <w:r w:rsidRPr="00FD2E2A">
              <w:t>sponse to animal behaviour according to workplace protocols</w:t>
            </w:r>
          </w:p>
          <w:p w:rsidR="00000000" w:rsidRPr="00FD2E2A" w:rsidP="00FD2E2A">
            <w:pPr>
              <w:pStyle w:val="BodyText"/>
            </w:pPr>
            <w:r w:rsidRPr="00FD2E2A">
              <w:t>3.5 Accurately enter new or amend existing records of the response in an organisational management system</w:t>
            </w:r>
          </w:p>
          <w:p w:rsidR="00000000" w:rsidRPr="00FD2E2A" w:rsidP="00FD2E2A">
            <w:pPr>
              <w:pStyle w:val="BodyText"/>
            </w:pPr>
            <w:r w:rsidRPr="00FD2E2A">
              <w:t>3.6 Follow organisational policies and procedures and legislative requirements</w:t>
            </w:r>
          </w:p>
        </w:tc>
      </w:tr>
    </w:tbl>
    <w:p w:rsidR="00000000" w:rsidRPr="00FD2E2A" w:rsidP="00FD2E2A">
      <w:pPr>
        <w:pStyle w:val="BodyText"/>
      </w:pP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6" w:name="O_1049071"/>
      <w:bookmarkEnd w:id="6"/>
      <w:r w:rsidRPr="00FD2E2A">
        <w:t>Foundation Skills</w:t>
      </w:r>
    </w:p>
    <w:p w:rsidR="00000000" w:rsidRPr="00AD4FFB" w:rsidP="00AD4FFB">
      <w:pPr>
        <w:pStyle w:val="BodyText"/>
        <w:rPr>
          <w:i/>
        </w:rPr>
      </w:pPr>
      <w:r w:rsidRPr="00AD4F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Description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ListBullet"/>
            </w:pPr>
            <w:r w:rsidRPr="00FD2E2A">
              <w:t>Discuss animal behaviour with owners using language appropriate to audience</w:t>
            </w:r>
          </w:p>
          <w:p w:rsidR="00000000" w:rsidP="00FD2E2A">
            <w:pPr>
              <w:pStyle w:val="ListBullet"/>
              <w:rPr>
                <w:lang w:val="en-NZ"/>
              </w:rPr>
            </w:pPr>
            <w:r w:rsidRPr="00FD2E2A">
              <w:t>Use questioning and active listening to confirm understanding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ListBullet"/>
              <w:rPr>
                <w:lang w:val="en-NZ"/>
              </w:rPr>
            </w:pPr>
            <w:r w:rsidRPr="00FD2E2A">
              <w:t>Interpret and comprehend information in legislative and organisational documentation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ListBullet"/>
            </w:pPr>
            <w:r w:rsidRPr="00FD2E2A">
              <w:t>Use problem-solving skills to identify and respond to issues associated with hazards and risks with animals</w:t>
            </w:r>
          </w:p>
        </w:tc>
      </w:tr>
    </w:tbl>
    <w:p w:rsidR="00000000" w:rsidRPr="00FD2E2A" w:rsidP="00FD2E2A">
      <w:pPr>
        <w:pStyle w:val="BodyText"/>
      </w:pP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7" w:name="O_1049070"/>
      <w:bookmarkEnd w:id="7"/>
      <w:r w:rsidRPr="00FD2E2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FD2E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Equivalence status</w:t>
            </w:r>
          </w:p>
        </w:tc>
      </w:tr>
      <w:tr w:rsidTr="00FD2E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ACMACR403 Identify and respond to animal behaviour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ACMACR403 Identify and respond to animal behaviour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Minor changes to performance criteria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Equivalent unit</w:t>
            </w:r>
          </w:p>
        </w:tc>
      </w:tr>
    </w:tbl>
    <w:p w:rsidR="00000000" w:rsidRPr="00FD2E2A" w:rsidP="00FD2E2A">
      <w:pPr>
        <w:pStyle w:val="BodyText"/>
      </w:pP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8" w:name="O_1049077"/>
      <w:bookmarkEnd w:id="8"/>
      <w:r w:rsidRPr="00FD2E2A">
        <w:t>Links</w:t>
      </w:r>
    </w:p>
    <w:p w:rsidR="00000000" w:rsidRPr="00FD2E2A" w:rsidP="00AD4FFB">
      <w:pPr>
        <w:pStyle w:val="BodyText"/>
      </w:pPr>
      <w:r w:rsidRPr="00FD2E2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B42D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D2E2A" w:rsidP="00AD4FFB">
      <w:pPr>
        <w:pStyle w:val="BodyText"/>
        <w:sectPr w:rsidSect="00FD2E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E2A" w:rsidP="00FD2E2A">
      <w:pPr>
        <w:pStyle w:val="SuperHeading"/>
      </w:pPr>
      <w:r w:rsidRPr="00FD2E2A">
        <w:t>Assessment Requirements for ACMA</w:t>
      </w:r>
      <w:r w:rsidRPr="00FD2E2A">
        <w:t>CR403 Identify and respond to animal behaviour</w:t>
      </w:r>
    </w:p>
    <w:p w:rsidR="00000000" w:rsidRPr="00FD2E2A" w:rsidP="00FD2E2A">
      <w:pPr>
        <w:pStyle w:val="Heading1"/>
      </w:pPr>
      <w:bookmarkStart w:id="9" w:name="O_1049068"/>
      <w:bookmarkEnd w:id="9"/>
      <w:r w:rsidRPr="00FD2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Bold"/>
              <w:rPr>
                <w:lang w:val="en-NZ"/>
              </w:rPr>
            </w:pPr>
            <w:r w:rsidRPr="00FD2E2A">
              <w:t>Comments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This version released with ACM Animal Care and Management Training Package Version 3.0.</w:t>
            </w:r>
          </w:p>
        </w:tc>
      </w:tr>
      <w:tr w:rsidTr="00FD2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2A">
            <w:pPr>
              <w:pStyle w:val="BodyText"/>
              <w:rPr>
                <w:lang w:val="en-NZ"/>
              </w:rPr>
            </w:pPr>
            <w:r w:rsidRPr="00FD2E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2A" w:rsidP="00FD2E2A">
            <w:pPr>
              <w:pStyle w:val="BodyText"/>
            </w:pPr>
            <w:r w:rsidRPr="00FD2E2A">
              <w:t>This version released with ACM Animal Care and Management Training Package Version 1.0.</w:t>
            </w:r>
          </w:p>
        </w:tc>
      </w:tr>
    </w:tbl>
    <w:p w:rsidR="00000000" w:rsidRPr="00FD2E2A" w:rsidP="00FD2E2A">
      <w:pPr>
        <w:pStyle w:val="BodyText"/>
      </w:pP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10" w:name="O_1049067"/>
      <w:bookmarkEnd w:id="10"/>
      <w:r w:rsidRPr="00FD2E2A">
        <w:t>Performance Evidence</w:t>
      </w:r>
    </w:p>
    <w:p w:rsidR="00000000" w:rsidRPr="00FD2E2A" w:rsidP="00AD4FFB">
      <w:pPr>
        <w:pStyle w:val="BodyText"/>
      </w:pPr>
      <w:r w:rsidRPr="00FD2E2A">
        <w:t xml:space="preserve">An individual demonstrating competency must satisfy all of the elements and performance criteria in this unit. </w:t>
      </w:r>
    </w:p>
    <w:p w:rsidR="00000000" w:rsidRPr="00FD2E2A" w:rsidP="00AD4FFB">
      <w:pPr>
        <w:pStyle w:val="BodyText"/>
      </w:pPr>
      <w:r w:rsidRPr="00FD2E2A">
        <w:t xml:space="preserve">There must be </w:t>
      </w:r>
      <w:r w:rsidRPr="00FD2E2A">
        <w:t xml:space="preserve">evidence that the individual has: </w:t>
      </w:r>
    </w:p>
    <w:p w:rsidR="00000000" w:rsidRPr="00FD2E2A" w:rsidP="00FD2E2A">
      <w:pPr>
        <w:pStyle w:val="ListBullet"/>
      </w:pPr>
      <w:r w:rsidRPr="00FD2E2A">
        <w:t>identified at least ten animals by breed, type and group</w:t>
      </w:r>
    </w:p>
    <w:p w:rsidR="00000000" w:rsidRPr="00FD2E2A" w:rsidP="00FD2E2A">
      <w:pPr>
        <w:pStyle w:val="ListBullet"/>
      </w:pPr>
      <w:r w:rsidRPr="00FD2E2A">
        <w:t>assessed specific types of animal behaviours, assessed wellbeing, and responded accordingly on at least two occasions</w:t>
      </w:r>
    </w:p>
    <w:p w:rsidR="00000000" w:rsidRPr="00FD2E2A" w:rsidP="00FD2E2A">
      <w:pPr>
        <w:pStyle w:val="ListBullet"/>
      </w:pPr>
      <w:r w:rsidRPr="00FD2E2A">
        <w:t>determined the behaviour and temperament of animals on at least two occasions</w:t>
      </w:r>
    </w:p>
    <w:p w:rsidR="00000000" w:rsidRPr="00FD2E2A" w:rsidP="00FD2E2A">
      <w:pPr>
        <w:pStyle w:val="ListBullet"/>
      </w:pPr>
      <w:r w:rsidRPr="00FD2E2A">
        <w:t>actioned a statutory response or referred unusual or dangerous behaviour to a specialist</w:t>
      </w:r>
    </w:p>
    <w:p w:rsidR="00000000" w:rsidRPr="00FD2E2A" w:rsidP="00FD2E2A">
      <w:pPr>
        <w:pStyle w:val="ListBullet"/>
      </w:pPr>
      <w:r w:rsidRPr="00FD2E2A">
        <w:t>accessed and used an organisation management system to keep and maintain accurate records</w:t>
      </w:r>
      <w:r w:rsidRPr="00FD2E2A">
        <w:t xml:space="preserve"> </w:t>
      </w:r>
    </w:p>
    <w:p w:rsidR="00000000" w:rsidRPr="00FD2E2A" w:rsidP="00FD2E2A">
      <w:pPr>
        <w:pStyle w:val="ListBullet"/>
      </w:pPr>
      <w:r w:rsidRPr="00FD2E2A">
        <w:t>documented information about the animal, its behaviour and the action taken on each occasion</w:t>
      </w:r>
    </w:p>
    <w:p w:rsidR="00000000" w:rsidRPr="00FD2E2A" w:rsidP="00FD2E2A">
      <w:pPr>
        <w:pStyle w:val="ListBullet"/>
      </w:pPr>
      <w:r w:rsidRPr="00FD2E2A">
        <w:t>maintained high standards of hygiene and infection control on each occasion.</w:t>
      </w: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11" w:name="O_1049066"/>
      <w:bookmarkEnd w:id="11"/>
      <w:r w:rsidRPr="00FD2E2A">
        <w:t>Knowledge Evidence</w:t>
      </w:r>
    </w:p>
    <w:p w:rsidR="00000000" w:rsidRPr="00FD2E2A" w:rsidP="00AD4FFB">
      <w:pPr>
        <w:pStyle w:val="BodyText"/>
      </w:pPr>
      <w:r w:rsidRPr="00FD2E2A">
        <w:t>An individual must be able to demonstrate the knowledge required to perform the tasks outlined in the elements and performance criteria of this unit. This includes knowledge of:</w:t>
      </w:r>
    </w:p>
    <w:p w:rsidR="00000000" w:rsidRPr="00FD2E2A" w:rsidP="00FD2E2A">
      <w:pPr>
        <w:pStyle w:val="ListBullet"/>
      </w:pPr>
      <w:r w:rsidRPr="00FD2E2A">
        <w:t>how to identify a range of animals by breed, type and group</w:t>
      </w:r>
    </w:p>
    <w:p w:rsidR="00000000" w:rsidRPr="00FD2E2A" w:rsidP="00FD2E2A">
      <w:pPr>
        <w:pStyle w:val="ListBullet"/>
      </w:pPr>
      <w:r w:rsidRPr="00FD2E2A">
        <w:t xml:space="preserve">animal behaviour </w:t>
      </w:r>
      <w:r w:rsidRPr="00FD2E2A">
        <w:t>as it relates to breed, type or group, including signs of normal and abnormal behaviour</w:t>
      </w:r>
    </w:p>
    <w:p w:rsidR="00000000" w:rsidRPr="00FD2E2A" w:rsidP="00FD2E2A">
      <w:pPr>
        <w:pStyle w:val="ListBullet"/>
      </w:pPr>
      <w:r w:rsidRPr="00FD2E2A">
        <w:t xml:space="preserve">how to recognise animal stress and comfort </w:t>
      </w:r>
    </w:p>
    <w:p w:rsidR="00000000" w:rsidRPr="00FD2E2A" w:rsidP="00FD2E2A">
      <w:pPr>
        <w:pStyle w:val="ListBullet"/>
      </w:pPr>
      <w:r w:rsidRPr="00FD2E2A">
        <w:t>the owner-animal relationship and its effect on animal behaviour</w:t>
      </w:r>
    </w:p>
    <w:p w:rsidR="00000000" w:rsidRPr="00FD2E2A" w:rsidP="00FD2E2A">
      <w:pPr>
        <w:pStyle w:val="ListBullet"/>
      </w:pPr>
      <w:r w:rsidRPr="00FD2E2A">
        <w:t>the principles of animal health, hygiene, diseases and zoon</w:t>
      </w:r>
      <w:r w:rsidRPr="00FD2E2A">
        <w:t>oses</w:t>
      </w:r>
    </w:p>
    <w:p w:rsidR="00000000" w:rsidRPr="00FD2E2A" w:rsidP="00FD2E2A">
      <w:pPr>
        <w:pStyle w:val="ListBullet"/>
      </w:pPr>
      <w:r w:rsidRPr="00FD2E2A">
        <w:t>various types of antisocial behaviour in animals and how to deal with these</w:t>
      </w:r>
    </w:p>
    <w:p w:rsidR="00000000" w:rsidRPr="00FD2E2A" w:rsidP="00FD2E2A">
      <w:pPr>
        <w:pStyle w:val="ListBullet"/>
      </w:pPr>
      <w:r w:rsidRPr="00FD2E2A">
        <w:t>what to look for in the environment, including where the animal lives, how it is managed by its owner and how that impacts on animal behaviour</w:t>
      </w:r>
    </w:p>
    <w:p w:rsidR="00000000" w:rsidRPr="00FD2E2A" w:rsidP="00FD2E2A">
      <w:pPr>
        <w:pStyle w:val="ListBullet"/>
      </w:pPr>
      <w:r w:rsidRPr="00FD2E2A">
        <w:t>the principles of animal welfare</w:t>
      </w:r>
      <w:r w:rsidRPr="00FD2E2A">
        <w:t xml:space="preserve"> and ethics</w:t>
      </w:r>
    </w:p>
    <w:p w:rsidR="00000000" w:rsidRPr="00FD2E2A" w:rsidP="00FD2E2A">
      <w:pPr>
        <w:pStyle w:val="ListBullet"/>
      </w:pPr>
      <w:r w:rsidRPr="00FD2E2A">
        <w:t>animal welfare frameworks, including the Five Freedoms</w:t>
      </w:r>
    </w:p>
    <w:p w:rsidR="00000000" w:rsidRPr="00FD2E2A" w:rsidP="00FD2E2A">
      <w:pPr>
        <w:pStyle w:val="ListBullet"/>
      </w:pPr>
      <w:r w:rsidRPr="00FD2E2A">
        <w:t>approaches to assessing welfare and wellbeing</w:t>
      </w:r>
    </w:p>
    <w:p w:rsidR="00000000" w:rsidRPr="00FD2E2A" w:rsidP="00FD2E2A">
      <w:pPr>
        <w:pStyle w:val="ListBullet"/>
      </w:pPr>
      <w:r w:rsidRPr="00FD2E2A">
        <w:t>key requirements of relevant legislation, regulations, standards and codes of practice relevant to work undertaken in an animal control and reg</w:t>
      </w:r>
      <w:r w:rsidRPr="00FD2E2A">
        <w:t>ulation environment</w:t>
      </w:r>
    </w:p>
    <w:p w:rsidR="00000000" w:rsidRPr="00FD2E2A" w:rsidP="00FD2E2A">
      <w:pPr>
        <w:pStyle w:val="ListBullet"/>
      </w:pPr>
      <w:r w:rsidRPr="00FD2E2A">
        <w:t>the range of statutory responses available under relevant legislation to deal with animal behaviour issues.</w:t>
      </w:r>
    </w:p>
    <w:p w:rsidR="00000000" w:rsidRPr="00FD2E2A" w:rsidP="00FD2E2A">
      <w:pPr>
        <w:pStyle w:val="AllowPageBreak"/>
      </w:pPr>
    </w:p>
    <w:p w:rsidR="00000000" w:rsidRPr="00FD2E2A" w:rsidP="00FD2E2A">
      <w:pPr>
        <w:pStyle w:val="Heading1"/>
      </w:pPr>
      <w:bookmarkStart w:id="12" w:name="O_1049065"/>
      <w:bookmarkEnd w:id="12"/>
      <w:r w:rsidRPr="00FD2E2A">
        <w:t>Assessment Conditions</w:t>
      </w:r>
    </w:p>
    <w:p w:rsidR="00000000" w:rsidRPr="00FD2E2A" w:rsidP="00AD4FFB">
      <w:pPr>
        <w:pStyle w:val="BodyText"/>
      </w:pPr>
      <w:r w:rsidRPr="00FD2E2A">
        <w:t>Assessment of skills must take place under the following conditions:</w:t>
      </w:r>
    </w:p>
    <w:p w:rsidR="00000000" w:rsidRPr="00FD2E2A" w:rsidP="00FD2E2A">
      <w:pPr>
        <w:pStyle w:val="ListBullet"/>
      </w:pPr>
      <w:r w:rsidRPr="00FD2E2A">
        <w:t>physical conditions:</w:t>
      </w:r>
    </w:p>
    <w:p w:rsidR="00000000" w:rsidRPr="00FD2E2A" w:rsidP="00FD2E2A">
      <w:pPr>
        <w:pStyle w:val="ListBullet2"/>
      </w:pPr>
      <w:r w:rsidRPr="00FD2E2A">
        <w:t>skills must be demonstrated in a workplace setting or an environment that accurately represents workplace conditions</w:t>
      </w:r>
    </w:p>
    <w:p w:rsidR="00000000" w:rsidRPr="00FD2E2A" w:rsidP="00FD2E2A">
      <w:pPr>
        <w:pStyle w:val="ListBullet"/>
      </w:pPr>
      <w:r w:rsidRPr="00FD2E2A">
        <w:t>resources, equipment and materials:</w:t>
      </w:r>
    </w:p>
    <w:p w:rsidR="00000000" w:rsidRPr="00FD2E2A" w:rsidP="00FD2E2A">
      <w:pPr>
        <w:pStyle w:val="ListBullet2"/>
      </w:pPr>
      <w:r w:rsidRPr="00FD2E2A">
        <w:t>access to real animals</w:t>
      </w:r>
    </w:p>
    <w:p w:rsidR="00000000" w:rsidRPr="00FD2E2A" w:rsidP="00FD2E2A">
      <w:pPr>
        <w:pStyle w:val="ListBullet2"/>
      </w:pPr>
      <w:r w:rsidRPr="00FD2E2A">
        <w:t>equipment and resources appropriate to work being undert</w:t>
      </w:r>
      <w:r w:rsidRPr="00FD2E2A">
        <w:t>aken in an animal care environment, including personal protective equipment</w:t>
      </w:r>
    </w:p>
    <w:p w:rsidR="00000000" w:rsidRPr="00FD2E2A" w:rsidP="00FD2E2A">
      <w:pPr>
        <w:pStyle w:val="ListBullet2"/>
      </w:pPr>
      <w:r w:rsidRPr="00FD2E2A">
        <w:t>organisational management system</w:t>
      </w:r>
    </w:p>
    <w:p w:rsidR="00000000" w:rsidRPr="00FD2E2A" w:rsidP="00FD2E2A">
      <w:pPr>
        <w:pStyle w:val="ListBullet"/>
      </w:pPr>
      <w:r w:rsidRPr="00FD2E2A">
        <w:t>specifications:</w:t>
      </w:r>
    </w:p>
    <w:p w:rsidR="00000000" w:rsidRPr="00FD2E2A" w:rsidP="00FD2E2A">
      <w:pPr>
        <w:pStyle w:val="ListBullet2"/>
      </w:pPr>
      <w:r w:rsidRPr="00FD2E2A">
        <w:t>organisational policies and procedures, legislation, industry standards and codes of practice relevant to work undertaken in anim</w:t>
      </w:r>
      <w:r w:rsidRPr="00FD2E2A">
        <w:t>al control.</w:t>
      </w:r>
    </w:p>
    <w:p w:rsidR="00000000" w:rsidRPr="00FD2E2A" w:rsidP="00AD4FFB">
      <w:pPr>
        <w:pStyle w:val="BodyText"/>
      </w:pPr>
      <w:r w:rsidRPr="00FD2E2A">
        <w:t>Assessors of this unit must satisfy the requirements for assessors in applicable vocational education and training legislation, frameworks and/or standards.</w:t>
      </w:r>
    </w:p>
    <w:p w:rsidR="00000000" w:rsidRPr="00FD2E2A" w:rsidP="00FD2E2A">
      <w:pPr>
        <w:pStyle w:val="Heading1"/>
      </w:pPr>
      <w:bookmarkStart w:id="13" w:name="O_1049078"/>
      <w:bookmarkEnd w:id="13"/>
      <w:r w:rsidRPr="00FD2E2A">
        <w:t>Links</w:t>
      </w:r>
    </w:p>
    <w:p w:rsidR="00000000" w:rsidRPr="00FD2E2A" w:rsidP="00AD4FFB">
      <w:pPr>
        <w:pStyle w:val="BodyText"/>
      </w:pPr>
      <w:r w:rsidRPr="00FD2E2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B42D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D2E2A" w:rsidP="00FD2E2A"/>
    <w:sectPr w:rsidSect="00FD2E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 w:rsidRPr="00AD4FFB" w:rsidP="00AD4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FB" w:rsidP="00FD2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FFB" w:rsidP="00FD2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4FFB" w:rsidP="00FD2E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 w:rsidP="00FD2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FFB">
      <w:t>Approved</w:t>
    </w:r>
    <w:r w:rsidR="00AD4F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F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FFB">
      <w:rPr>
        <w:noProof/>
      </w:rPr>
      <w:t>4</w:t>
    </w:r>
    <w:r>
      <w:rPr>
        <w:noProof/>
      </w:rPr>
      <w:fldChar w:fldCharType="end"/>
    </w:r>
  </w:p>
  <w:p w:rsidR="00FD2E2A" w:rsidP="00FD2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F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FFB">
      <w:t>Skills Insight</w:t>
    </w:r>
    <w:r w:rsidR="00AD4FFB">
      <w:fldChar w:fldCharType="end"/>
    </w:r>
  </w:p>
  <w:p w:rsidR="00FD2E2A" w:rsidP="00FD2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E2A" w:rsidRPr="00AD4FFB" w:rsidP="00AD4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FB" w:rsidRPr="002D2AF8" w:rsidP="00FD2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ACMACR403 Identify and respond to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FFB" w:rsidP="00FD2E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2A" w:rsidRPr="002D2AF8" w:rsidP="00FD2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FFB">
      <w:t>ACMACR403 Identify and respond to animal behaviour</w:t>
    </w:r>
    <w:r w:rsidR="00AD4F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FFB">
      <w:rPr>
        <w:noProof/>
      </w:rPr>
      <w:t>2 March 2025</w:t>
    </w:r>
    <w:r>
      <w:fldChar w:fldCharType="end"/>
    </w:r>
  </w:p>
  <w:p w:rsidR="00FD2E2A" w:rsidP="00FD2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B0D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8B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0C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E2A"/>
  </w:style>
  <w:style w:type="character" w:customStyle="1" w:styleId="Heading1Char">
    <w:name w:val="Heading 1 Char"/>
    <w:basedOn w:val="DefaultParagraphFont"/>
    <w:link w:val="Heading1"/>
    <w:rsid w:val="00FD2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2E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E2A"/>
    <w:rPr>
      <w:i/>
    </w:rPr>
  </w:style>
  <w:style w:type="paragraph" w:customStyle="1" w:styleId="SuperHeading">
    <w:name w:val="SuperHeading"/>
    <w:basedOn w:val="Normal"/>
    <w:rsid w:val="00FD2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E2A"/>
    <w:rPr>
      <w:b/>
    </w:rPr>
  </w:style>
  <w:style w:type="character" w:customStyle="1" w:styleId="Heading2Char">
    <w:name w:val="Heading 2 Char"/>
    <w:basedOn w:val="DefaultParagraphFont"/>
    <w:link w:val="Heading2"/>
    <w:rsid w:val="00FD2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E2A"/>
    <w:rPr>
      <w:b/>
      <w:spacing w:val="0"/>
    </w:rPr>
  </w:style>
  <w:style w:type="paragraph" w:customStyle="1" w:styleId="SuperTitle">
    <w:name w:val="SuperTitle"/>
    <w:basedOn w:val="Title"/>
    <w:rsid w:val="00FD2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E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E2A"/>
  </w:style>
  <w:style w:type="paragraph" w:styleId="TableofFigures">
    <w:name w:val="table of figures"/>
    <w:basedOn w:val="Normal"/>
    <w:next w:val="Normal"/>
    <w:semiHidden/>
    <w:rsid w:val="00FD2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E2A"/>
    <w:rPr>
      <w:rFonts w:ascii="Wingdings" w:hAnsi="Wingdings"/>
    </w:rPr>
  </w:style>
  <w:style w:type="paragraph" w:customStyle="1" w:styleId="TableHeading">
    <w:name w:val="Table Heading"/>
    <w:basedOn w:val="HeadingBase"/>
    <w:rsid w:val="00FD2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E2A"/>
    <w:rPr>
      <w:color w:val="0033CC"/>
      <w:u w:val="none"/>
    </w:rPr>
  </w:style>
  <w:style w:type="paragraph" w:customStyle="1" w:styleId="BodyTextRight">
    <w:name w:val="Body Text Right"/>
    <w:basedOn w:val="BodyText"/>
    <w:rsid w:val="00FD2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E2A"/>
    <w:rPr>
      <w:sz w:val="32"/>
    </w:rPr>
  </w:style>
  <w:style w:type="paragraph" w:customStyle="1" w:styleId="HeadingProcedure">
    <w:name w:val="Heading Procedure"/>
    <w:basedOn w:val="HeadingBase"/>
    <w:next w:val="Normal"/>
    <w:rsid w:val="00FD2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E2A"/>
    <w:pPr>
      <w:spacing w:before="60" w:after="60"/>
    </w:pPr>
  </w:style>
  <w:style w:type="paragraph" w:styleId="ListContinue">
    <w:name w:val="List Continue"/>
    <w:basedOn w:val="List"/>
    <w:rsid w:val="00FD2E2A"/>
    <w:pPr>
      <w:ind w:firstLine="0"/>
    </w:pPr>
  </w:style>
  <w:style w:type="paragraph" w:customStyle="1" w:styleId="ListNote">
    <w:name w:val="List Note"/>
    <w:basedOn w:val="List"/>
    <w:rsid w:val="00FD2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E2A"/>
    <w:rPr>
      <w:rFonts w:ascii="Courier New" w:hAnsi="Courier New"/>
    </w:rPr>
  </w:style>
  <w:style w:type="paragraph" w:customStyle="1" w:styleId="NoteBullet">
    <w:name w:val="Note Bullet"/>
    <w:basedOn w:val="Note"/>
    <w:rsid w:val="00FD2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E2A"/>
    <w:rPr>
      <w:b/>
      <w:smallCaps/>
    </w:rPr>
  </w:style>
  <w:style w:type="paragraph" w:customStyle="1" w:styleId="TableListNumber">
    <w:name w:val="Table List Number"/>
    <w:basedOn w:val="ListNumber"/>
    <w:rsid w:val="00FD2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E2A"/>
    <w:pPr>
      <w:numPr>
        <w:numId w:val="9"/>
      </w:numPr>
    </w:pPr>
  </w:style>
  <w:style w:type="paragraph" w:customStyle="1" w:styleId="ListAlpha2">
    <w:name w:val="List Alpha 2"/>
    <w:basedOn w:val="List2"/>
    <w:rsid w:val="00FD2E2A"/>
    <w:pPr>
      <w:numPr>
        <w:numId w:val="8"/>
      </w:numPr>
    </w:pPr>
  </w:style>
  <w:style w:type="paragraph" w:styleId="List2">
    <w:name w:val="List 2"/>
    <w:basedOn w:val="BodyText"/>
    <w:rsid w:val="00FD2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E2A"/>
    <w:pPr>
      <w:numPr>
        <w:numId w:val="4"/>
      </w:numPr>
    </w:pPr>
  </w:style>
  <w:style w:type="paragraph" w:styleId="ListContinue2">
    <w:name w:val="List Continue 2"/>
    <w:basedOn w:val="List2"/>
    <w:rsid w:val="00FD2E2A"/>
    <w:pPr>
      <w:ind w:firstLine="0"/>
    </w:pPr>
  </w:style>
  <w:style w:type="paragraph" w:styleId="ListContinue3">
    <w:name w:val="List Continue 3"/>
    <w:basedOn w:val="List3"/>
    <w:rsid w:val="00FD2E2A"/>
    <w:pPr>
      <w:ind w:left="1021" w:firstLine="0"/>
    </w:pPr>
  </w:style>
  <w:style w:type="paragraph" w:styleId="ListContinue4">
    <w:name w:val="List Continue 4"/>
    <w:basedOn w:val="List4"/>
    <w:rsid w:val="00FD2E2A"/>
    <w:pPr>
      <w:ind w:firstLine="0"/>
    </w:pPr>
  </w:style>
  <w:style w:type="paragraph" w:styleId="ListContinue5">
    <w:name w:val="List Continue 5"/>
    <w:basedOn w:val="List5"/>
    <w:rsid w:val="00FD2E2A"/>
    <w:pPr>
      <w:ind w:firstLine="0"/>
    </w:pPr>
  </w:style>
  <w:style w:type="paragraph" w:styleId="ListNumber3">
    <w:name w:val="List Number 3"/>
    <w:basedOn w:val="List3"/>
    <w:rsid w:val="00FD2E2A"/>
    <w:pPr>
      <w:numPr>
        <w:numId w:val="5"/>
      </w:numPr>
    </w:pPr>
  </w:style>
  <w:style w:type="paragraph" w:styleId="ListNumber4">
    <w:name w:val="List Number 4"/>
    <w:basedOn w:val="List4"/>
    <w:rsid w:val="00FD2E2A"/>
    <w:pPr>
      <w:numPr>
        <w:numId w:val="6"/>
      </w:numPr>
    </w:pPr>
  </w:style>
  <w:style w:type="paragraph" w:styleId="ListNumber5">
    <w:name w:val="List Number 5"/>
    <w:basedOn w:val="List5"/>
    <w:rsid w:val="00FD2E2A"/>
    <w:pPr>
      <w:numPr>
        <w:numId w:val="7"/>
      </w:numPr>
    </w:pPr>
  </w:style>
  <w:style w:type="paragraph" w:styleId="BlockText">
    <w:name w:val="Block Text"/>
    <w:basedOn w:val="Normal"/>
    <w:rsid w:val="00FD2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E2A"/>
    <w:rPr>
      <w:sz w:val="16"/>
      <w:vertAlign w:val="superscript"/>
    </w:rPr>
  </w:style>
  <w:style w:type="character" w:customStyle="1" w:styleId="Symbols">
    <w:name w:val="Symbols"/>
    <w:basedOn w:val="DefaultParagraphFont"/>
    <w:rsid w:val="00FD2E2A"/>
    <w:rPr>
      <w:rFonts w:ascii="Symbol" w:hAnsi="Symbol"/>
    </w:rPr>
  </w:style>
  <w:style w:type="character" w:customStyle="1" w:styleId="MenuOptions">
    <w:name w:val="Menu Options"/>
    <w:basedOn w:val="DefaultParagraphFont"/>
    <w:rsid w:val="00FD2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E2A"/>
    <w:rPr>
      <w:b/>
    </w:rPr>
  </w:style>
  <w:style w:type="character" w:customStyle="1" w:styleId="Underlined">
    <w:name w:val="Underlined"/>
    <w:basedOn w:val="DefaultParagraphFont"/>
    <w:rsid w:val="00FD2E2A"/>
    <w:rPr>
      <w:u w:val="single"/>
    </w:rPr>
  </w:style>
  <w:style w:type="paragraph" w:customStyle="1" w:styleId="TableBodyTextRight">
    <w:name w:val="Table Body Text Right"/>
    <w:basedOn w:val="TableBodyText"/>
    <w:rsid w:val="00FD2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E2A"/>
    <w:rPr>
      <w:sz w:val="18"/>
    </w:rPr>
  </w:style>
  <w:style w:type="paragraph" w:customStyle="1" w:styleId="BodySmallRight">
    <w:name w:val="Body Small Right"/>
    <w:basedOn w:val="BodyTextRight"/>
    <w:rsid w:val="00FD2E2A"/>
    <w:rPr>
      <w:sz w:val="18"/>
      <w:szCs w:val="18"/>
    </w:rPr>
  </w:style>
  <w:style w:type="paragraph" w:customStyle="1" w:styleId="MarginEdition">
    <w:name w:val="Margin Edition"/>
    <w:basedOn w:val="MarginNote"/>
    <w:rsid w:val="00FD2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E2A"/>
    <w:rPr>
      <w:sz w:val="2"/>
      <w:szCs w:val="2"/>
    </w:rPr>
  </w:style>
  <w:style w:type="character" w:customStyle="1" w:styleId="Small">
    <w:name w:val="Small"/>
    <w:basedOn w:val="DefaultParagraphFont"/>
    <w:rsid w:val="00FD2E2A"/>
    <w:rPr>
      <w:sz w:val="16"/>
    </w:rPr>
  </w:style>
  <w:style w:type="paragraph" w:customStyle="1" w:styleId="WideTable">
    <w:name w:val="Wide Table"/>
    <w:basedOn w:val="Normal"/>
    <w:rsid w:val="00FD2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E2A"/>
  </w:style>
  <w:style w:type="paragraph" w:styleId="Quote">
    <w:name w:val="Quote"/>
    <w:basedOn w:val="Heading1"/>
    <w:link w:val="QuoteChar"/>
    <w:qFormat/>
    <w:rsid w:val="00FD2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E2A"/>
    <w:pPr>
      <w:pageBreakBefore/>
    </w:pPr>
  </w:style>
  <w:style w:type="paragraph" w:customStyle="1" w:styleId="Border">
    <w:name w:val="Border"/>
    <w:basedOn w:val="Normal"/>
    <w:qFormat/>
    <w:rsid w:val="00FD2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E2A"/>
    <w:rPr>
      <w:u w:val="single"/>
    </w:rPr>
  </w:style>
  <w:style w:type="character" w:customStyle="1" w:styleId="BoldandItalics">
    <w:name w:val="Bold and Italics"/>
    <w:qFormat/>
    <w:rsid w:val="00FD2E2A"/>
    <w:rPr>
      <w:b/>
      <w:i/>
      <w:u w:val="none"/>
    </w:rPr>
  </w:style>
  <w:style w:type="paragraph" w:styleId="BalloonText">
    <w:name w:val="Balloon Text"/>
    <w:basedOn w:val="Normal"/>
    <w:link w:val="BalloonTextChar"/>
    <w:rsid w:val="00FD2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E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4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5918</Characters>
  <Application>Microsoft Office Word</Application>
  <DocSecurity>0</DocSecurity>
  <Lines>190</Lines>
  <Paragraphs>127</Paragraphs>
  <ScaleCrop>false</ScaleCrop>
  <Company>Author-it Software Corporation Ltd.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ACMACR403 Identify and respond to animal behaviour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