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B9016F" w:rsidP="00B9016F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UEEHA0016 Assess the fitness-for-purpose of explosion-protected equipment</w:t>
      </w:r>
      <w:r>
        <w:fldChar w:fldCharType="end"/>
      </w:r>
    </w:p>
    <w:p w:rsidR="00B9016F" w:rsidP="00B9016F">
      <w:pPr>
        <w:pStyle w:val="Version"/>
        <w:sectPr w:rsidSect="003C5994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3C5994" w:rsidP="003C5994">
      <w:pPr>
        <w:pStyle w:val="SuperHeading"/>
      </w:pPr>
      <w:r w:rsidRPr="003C5994">
        <w:t>UEEHA0016 Assess the fitness-for-purpose of explosion-protected equipment</w:t>
      </w:r>
    </w:p>
    <w:p w:rsidR="00000000" w:rsidRPr="003C5994" w:rsidP="003C5994">
      <w:pPr>
        <w:pStyle w:val="Heading1"/>
      </w:pPr>
      <w:bookmarkStart w:id="1" w:name="O_1242738"/>
      <w:bookmarkEnd w:id="1"/>
      <w:r w:rsidRPr="003C5994">
        <w:t>Modification History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Release 1. This is the first release of this unit of competency in the Electrotechnology Training Package.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2" w:name="O_1242739"/>
      <w:bookmarkEnd w:id="2"/>
      <w:r w:rsidRPr="003C5994">
        <w:t>Application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This unit involves the skills and knowledge required to assess the fitness-for-purpose of explosion-protected aspects of equipment that has no certificate of conformity available (or the origin of a certificate cannot be verified), consistent with the requ</w:t>
            </w:r>
            <w:r w:rsidRPr="003C5994">
              <w:t>irements of AS/NZS60079.17.</w:t>
            </w:r>
          </w:p>
          <w:p w:rsidR="00000000" w:rsidRPr="003C5994" w:rsidP="003C5994">
            <w:pPr>
              <w:pStyle w:val="BodyText"/>
            </w:pPr>
            <w:r w:rsidRPr="003C5994">
              <w:t>It includes: gathering, establishing and evaluating technical information on relevant explosion- protection types; and, reporting on evaluations and findings, including recommendations based conditions of control, sound engineer</w:t>
            </w:r>
            <w:r w:rsidRPr="003C5994">
              <w:t>ing, safety requirements and economic considerations.</w:t>
            </w:r>
          </w:p>
          <w:p w:rsidR="00000000" w:rsidRPr="003C5994" w:rsidP="003C5994">
            <w:pPr>
              <w:pStyle w:val="BodyText"/>
            </w:pPr>
            <w:r w:rsidRPr="003C5994">
              <w:t>This unit applies to personnel involved in engineering functions or maintenance (e.g. end users) when considering the continued use and/or refurbishment of legacy plant. It applies also to those personn</w:t>
            </w:r>
            <w:r w:rsidRPr="003C5994">
              <w:t>el involved in the reclamation and/or repair and overhaul of equipment.</w:t>
            </w:r>
          </w:p>
          <w:p w:rsidR="00000000" w:rsidRPr="003C5994" w:rsidP="003C5994">
            <w:pPr>
              <w:pStyle w:val="BodyText"/>
            </w:pPr>
            <w:r w:rsidRPr="003C5994">
              <w:t>Site-specific work permits may be required to work in the hazardous environment.  In addition, other permits may be required, such as confined space and to operate specific pieces of e</w:t>
            </w:r>
            <w:r w:rsidRPr="003C5994">
              <w:t>quipment such as elevated work platforms in various jurisdictions.</w:t>
            </w:r>
          </w:p>
          <w:p w:rsidR="00000000" w:rsidRPr="003C5994" w:rsidP="003C5994">
            <w:pPr>
              <w:pStyle w:val="BodyText"/>
            </w:pPr>
            <w:r w:rsidRPr="003C5994">
              <w:t>Additional and/or other conditions may apply in some jurisdictions subject to regulations related to electrical work. Practice in the workplace and during training is also subject to work h</w:t>
            </w:r>
            <w:r w:rsidRPr="003C5994">
              <w:t>ealth and safety (WHS)/occupational health and safety (OHS) regulations.</w:t>
            </w:r>
          </w:p>
          <w:p w:rsidR="00000000" w:rsidRPr="003C5994" w:rsidP="003C5994">
            <w:pPr>
              <w:pStyle w:val="BodyText"/>
            </w:pPr>
            <w:r w:rsidRPr="003C5994">
              <w:t>This unit is adopted from clause 2.12 of AS/NZS 4761.1:2018 Competencies for working with electrical equipment for hazardous areas (EEHA). There may be differences between the content</w:t>
            </w:r>
            <w:r w:rsidRPr="003C5994">
              <w:t xml:space="preserve"> of this unit and AS/NZS 4761.1:2018, so the Standard must be checked to ensure compliance with it. Clause 2.12 of AS/NZS 4761.1:2018 includes the following precondition for assessment:</w:t>
            </w:r>
          </w:p>
          <w:p w:rsidR="00000000" w:rsidRPr="003C5994" w:rsidP="003C5994">
            <w:pPr>
              <w:pStyle w:val="ListBullet"/>
            </w:pPr>
            <w:r>
              <w:t>“</w:t>
            </w:r>
            <w:r w:rsidRPr="003C5994">
              <w:t>A candidate seeking assessment in this unit shall have been deemed c</w:t>
            </w:r>
            <w:r w:rsidRPr="003C5994">
              <w:t>ompetent to assess the compliance of general electrical and control equipment at AQF level 7 and NZQF level 7 (BD) or equivalent.</w:t>
            </w:r>
            <w:r>
              <w:t>”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3" w:name="O_1242740"/>
      <w:bookmarkEnd w:id="3"/>
      <w:r w:rsidRPr="003C5994">
        <w:t>Pre-requisite Unit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UEEHA0019 Conduct a conformity assessment review of explosion-protected equipment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4" w:name="O_1242741"/>
      <w:bookmarkEnd w:id="4"/>
      <w:r w:rsidRPr="003C5994">
        <w:t>Competency Field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Hazards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5" w:name="O_1242742"/>
      <w:bookmarkEnd w:id="5"/>
      <w:r w:rsidRPr="003C5994">
        <w:t>Unit Sector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Electrotechnology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6" w:name="O_1242743"/>
      <w:bookmarkEnd w:id="6"/>
      <w:r w:rsidRPr="003C5994">
        <w:t>Elements and Performance Criteria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403"/>
        <w:gridCol w:w="2860"/>
        <w:gridCol w:w="697"/>
        <w:gridCol w:w="553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326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ELEMENTS</w:t>
            </w:r>
          </w:p>
        </w:tc>
        <w:tc>
          <w:tcPr>
            <w:tcW w:w="623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PERFORMANCE CRITERIA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326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Elements describe the essential outcomes.</w:t>
            </w:r>
          </w:p>
        </w:tc>
        <w:tc>
          <w:tcPr>
            <w:tcW w:w="623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Performance criteria describe the performance needed to demonstrate achievement of the element.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 xml:space="preserve">1 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Prepare to assess fitness-for-purpose of equipment and systems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WHS/OHS policies and safe work methods are obtained and reviewed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Equipment or system to be assessed is determined from instructions and in consultation with authority of the owner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Equipment specification is obtained from site records or equipment/system manufacturer (where available)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1.4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Authenticity of obtained documentation is verified with the issuing organization or the assessor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1.5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Applicable standards and codes of practice the equipment or systems are to be assessed against are obtained and reviewed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1.6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If equipment specificati</w:t>
            </w:r>
            <w:r w:rsidRPr="003C5994">
              <w:t>on is unavailable, arrangements are made to establish the specification of the equipment to determine the normal operating and explosion-protection performance parameters of the equipment or system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1.7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Tools and certified measuring and testing devices n</w:t>
            </w:r>
            <w:r w:rsidRPr="003C5994">
              <w:t>eeded to carry out field measurements and testing are obtained and checked for correct operation and safety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2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Gather technical information to assess fitness-for- purpose of equipment and systems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2.1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Safe work methods for hazardous areas and assessment tasks are accepted and followed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2.2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Measurements and tests are carried out to verify the specification and operating parameters of the equipment or system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2.3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 xml:space="preserve">Data relevant to the specification is </w:t>
            </w:r>
            <w:r w:rsidRPr="003C5994">
              <w:t>gathered to assess and verify the equipment or system according to the applicable standards and codes of practice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3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Assess equipment/systems against standards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3.1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Equipment or system details are assessed, including measurement, tests, ‘alternative’</w:t>
            </w:r>
            <w:r w:rsidRPr="003C5994">
              <w:t xml:space="preserve"> tests and calculations and the design specifications, for compliance with each relevant clause in the applicable standard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3.2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Differences between the equipment or system assessment and standards requirements are identified and documented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3.3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Recommendations are developed as to whether remedial work is viable for equipment or systems that are not initially assessed as fit-for-purpose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3.4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Specifications are recommended for the remediation of equipment or systems to be suitable as fit-for-purp</w:t>
            </w:r>
            <w:r w:rsidRPr="003C5994">
              <w:t>ose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4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rPr>
                <w:rStyle w:val="SpecialBold"/>
              </w:rPr>
              <w:t>Develop and submit a fitness-for-purpose report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4.1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Assessment results concerning the integrity of explosion-protected electrical equipment or systems are documented in a fitness-for- purpose report that includes the processes taken and justificatio</w:t>
            </w:r>
            <w:r w:rsidRPr="003C5994">
              <w:t>n for the outcomes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spacing w:before="0" w:after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>
            <w:pPr>
              <w:pStyle w:val="BodyText"/>
              <w:keepLines w:val="0"/>
              <w:spacing w:before="0" w:after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rPr>
                <w:rStyle w:val="SpecialBold"/>
              </w:rPr>
              <w:t>4.2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Fitness-for-purpose report and all required appended documentation is forwarded to the person responsible for maintaining compliance records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7" w:name="O_1242744"/>
      <w:bookmarkEnd w:id="7"/>
      <w:r w:rsidRPr="003C5994">
        <w:t>Foundation Skills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Foundation skills essential to performance are explicit in the performance criteria of this unit of competency.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8" w:name="O_1242745"/>
      <w:bookmarkEnd w:id="8"/>
      <w:r w:rsidRPr="003C5994">
        <w:t>Range of Conditions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Range is restricted to essential operating conditions and any other variables essential to the work env</w:t>
            </w:r>
            <w:r w:rsidRPr="003C5994">
              <w:t>ironment.</w:t>
            </w:r>
          </w:p>
          <w:p w:rsidR="00000000" w:rsidRPr="003C5994" w:rsidP="003C5994">
            <w:pPr>
              <w:pStyle w:val="BodyText"/>
            </w:pPr>
            <w:r w:rsidRPr="003C5994">
              <w:t>Non-essential conditions may be found in the Electrotechnology Training Package Companion Volume Implementation Guide.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9" w:name="O_1242746"/>
      <w:bookmarkEnd w:id="9"/>
      <w:r w:rsidRPr="003C5994">
        <w:t>Unit Mapping Information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This is a new unit.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10" w:name="O_1242753"/>
      <w:bookmarkEnd w:id="10"/>
      <w:r w:rsidRPr="003C5994">
        <w:t>Links</w:t>
      </w:r>
    </w:p>
    <w:p w:rsidR="00000000" w:rsidRPr="003C5994" w:rsidP="00B9016F">
      <w:pPr>
        <w:pStyle w:val="BodyText"/>
      </w:pPr>
      <w:r w:rsidRPr="003C5994">
        <w:t xml:space="preserve">Companion Volume Implementation Guides are found in VETNet - </w:t>
      </w:r>
      <w:r>
        <w:fldChar w:fldCharType="begin"/>
      </w:r>
      <w:r>
        <w:instrText xml:space="preserve"> HYPERLINK "https://vetnet.gov.au/Pages/TrainingDocs.aspx?q=b8a8f136-5421-4ce1-92e0-2b50341431b6" </w:instrText>
      </w:r>
      <w:r>
        <w:fldChar w:fldCharType="separate"/>
      </w:r>
      <w:r w:rsidRPr="00DB688C">
        <w:rPr>
          <w:rStyle w:val="Hyperlink"/>
        </w:rPr>
        <w:t>https://vetnet.gov.au/Pages/TrainingDocs.aspx?q=b8a8f136-5421-4ce1-92e0-2b50341431b6</w:t>
      </w:r>
      <w:r>
        <w:fldChar w:fldCharType="end"/>
      </w:r>
    </w:p>
    <w:p w:rsidR="00000000" w:rsidRPr="003C5994" w:rsidP="00B9016F">
      <w:pPr>
        <w:pStyle w:val="BodyText"/>
        <w:sectPr w:rsidSect="003C5994">
          <w:headerReference w:type="default" r:id="rId10"/>
          <w:footerReference w:type="default" r:id="rId11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</w:p>
    <w:p w:rsidR="00000000" w:rsidRPr="003C5994" w:rsidP="003C5994">
      <w:pPr>
        <w:pStyle w:val="SuperHeading"/>
      </w:pPr>
      <w:r w:rsidRPr="003C5994">
        <w:t>Assessment Requirements for UEEHA0016 Assess the fitness-for-pu</w:t>
      </w:r>
      <w:r w:rsidRPr="003C5994">
        <w:t>rpose of explosion-protected equipment</w:t>
      </w:r>
    </w:p>
    <w:p w:rsidR="00000000" w:rsidRPr="003C5994" w:rsidP="003C5994">
      <w:pPr>
        <w:pStyle w:val="Heading1"/>
      </w:pPr>
      <w:bookmarkStart w:id="11" w:name="O_1242748"/>
      <w:bookmarkEnd w:id="11"/>
      <w:r w:rsidRPr="003C5994">
        <w:t>Modification History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>Release 1. This is the first release of this unit of competency in the Electrotechnology Training Package.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12" w:name="O_1242749"/>
      <w:bookmarkEnd w:id="12"/>
      <w:r w:rsidRPr="003C5994">
        <w:t>Performance Evidence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>Evidence required to demonstr</w:t>
            </w:r>
            <w:r w:rsidRPr="003C5994">
              <w:t xml:space="preserve">ate competence in this unit must be relevant to and satisfy all of the requirements of the elements and performance criteria on at least two separate occasions and include: 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ListBullet"/>
            </w:pPr>
            <w:r w:rsidRPr="003C5994">
              <w:t>preparing to assess fitness-for-purpose of equipment and systems including:</w:t>
            </w:r>
          </w:p>
          <w:p w:rsidR="00000000" w:rsidRPr="003C5994" w:rsidP="003C5994">
            <w:pPr>
              <w:pStyle w:val="ListBullet2"/>
            </w:pPr>
            <w:r w:rsidRPr="003C5994">
              <w:t>obtaining and reviewing WHS policies and safe work methods.</w:t>
            </w:r>
          </w:p>
          <w:p w:rsidR="00000000" w:rsidRPr="003C5994" w:rsidP="003C5994">
            <w:pPr>
              <w:pStyle w:val="ListBullet2"/>
            </w:pPr>
            <w:r w:rsidRPr="003C5994">
              <w:t>obtaining design documentation for the equipment or systems to be assessed from site records or the manufacturer and verifying their authenticity with issuing organization or assessor</w:t>
            </w:r>
          </w:p>
          <w:p w:rsidR="00000000" w:rsidRPr="003C5994" w:rsidP="003C5994">
            <w:pPr>
              <w:pStyle w:val="ListBullet2"/>
            </w:pPr>
            <w:r w:rsidRPr="003C5994">
              <w:t>obtaining th</w:t>
            </w:r>
            <w:r w:rsidRPr="003C5994">
              <w:t>e standards and codes of practice against which the equipment or system are to be assessed</w:t>
            </w:r>
          </w:p>
          <w:p w:rsidR="00000000" w:rsidRPr="003C5994" w:rsidP="003C5994">
            <w:pPr>
              <w:pStyle w:val="ListBullet2"/>
            </w:pPr>
            <w:r w:rsidRPr="003C5994">
              <w:t>arranging for the equipment or system specifications and normal operating parameters to be established, given design documentation is not available</w:t>
            </w:r>
          </w:p>
          <w:p w:rsidR="00000000" w:rsidRPr="003C5994" w:rsidP="003C5994">
            <w:pPr>
              <w:pStyle w:val="ListBullet2"/>
            </w:pPr>
            <w:r w:rsidRPr="003C5994">
              <w:t>obtaining require</w:t>
            </w:r>
            <w:r w:rsidRPr="003C5994">
              <w:t>d tools and certified measuring and testing devices and checking them for correct operation and safety</w:t>
            </w:r>
          </w:p>
          <w:p w:rsidR="00000000" w:rsidRPr="003C5994" w:rsidP="003C5994">
            <w:pPr>
              <w:pStyle w:val="ListBullet"/>
            </w:pPr>
            <w:r w:rsidRPr="003C5994">
              <w:t>gathering technical information to assess equipment and systems including:</w:t>
            </w:r>
          </w:p>
          <w:p w:rsidR="00000000" w:rsidRPr="003C5994" w:rsidP="003C5994">
            <w:pPr>
              <w:pStyle w:val="ListBullet2"/>
            </w:pPr>
            <w:r w:rsidRPr="003C5994">
              <w:t>accepting and following safe work methods</w:t>
            </w:r>
          </w:p>
          <w:p w:rsidR="00000000" w:rsidRPr="003C5994" w:rsidP="003C5994">
            <w:pPr>
              <w:pStyle w:val="ListBullet2"/>
            </w:pPr>
            <w:r w:rsidRPr="003C5994">
              <w:t>carrying out measuring and testing</w:t>
            </w:r>
            <w:r w:rsidRPr="003C5994">
              <w:t xml:space="preserve"> to verify equipment or system specifications and parameters</w:t>
            </w:r>
          </w:p>
          <w:p w:rsidR="00000000" w:rsidRPr="003C5994" w:rsidP="003C5994">
            <w:pPr>
              <w:pStyle w:val="ListBullet2"/>
            </w:pPr>
            <w:r w:rsidRPr="003C5994">
              <w:t>gathering all data relevant to the specification to assess and verify the equipment or system according to the applicable standards and codes of practice</w:t>
            </w:r>
          </w:p>
          <w:p w:rsidR="00000000" w:rsidRPr="003C5994" w:rsidP="003C5994">
            <w:pPr>
              <w:pStyle w:val="ListBullet"/>
            </w:pPr>
            <w:r w:rsidRPr="003C5994">
              <w:t>assessing equipment/systems against stan</w:t>
            </w:r>
            <w:r w:rsidRPr="003C5994">
              <w:t>dards including:</w:t>
            </w:r>
          </w:p>
          <w:p w:rsidR="00000000" w:rsidRPr="003C5994" w:rsidP="003C5994">
            <w:pPr>
              <w:pStyle w:val="ListBullet2"/>
            </w:pPr>
            <w:r w:rsidRPr="003C5994">
              <w:t>assessing equipment or system details, including calculations, measurements, test results and design specifications, for compliance with each relevant clause in the applicable standard</w:t>
            </w:r>
          </w:p>
          <w:p w:rsidR="00000000" w:rsidRPr="003C5994" w:rsidP="003C5994">
            <w:pPr>
              <w:pStyle w:val="ListBullet2"/>
            </w:pPr>
            <w:r w:rsidRPr="003C5994">
              <w:t>identifying and documenting differences between the e</w:t>
            </w:r>
            <w:r w:rsidRPr="003C5994">
              <w:t>quipment or system assessment and standards requirements</w:t>
            </w:r>
          </w:p>
          <w:p w:rsidR="00000000" w:rsidRPr="003C5994" w:rsidP="003C5994">
            <w:pPr>
              <w:pStyle w:val="ListBullet2"/>
            </w:pPr>
            <w:r w:rsidRPr="003C5994">
              <w:t>developing a recommendation as to whether remedial work is viable for equipment or systems that are not initially assessed as fit-for-purpose</w:t>
            </w:r>
          </w:p>
          <w:p w:rsidR="00000000" w:rsidRPr="003C5994" w:rsidP="003C5994">
            <w:pPr>
              <w:pStyle w:val="ListBullet2"/>
            </w:pPr>
            <w:r w:rsidRPr="003C5994">
              <w:t>developing specifications, as a recommendation, for the remediation of equipment or systems to be suitable as fit-for-purpose</w:t>
            </w:r>
          </w:p>
          <w:p w:rsidR="00000000" w:rsidRPr="003C5994" w:rsidP="003C5994">
            <w:pPr>
              <w:pStyle w:val="ListBullet"/>
            </w:pPr>
            <w:r w:rsidRPr="003C5994">
              <w:t>developing and submitting a fit-for-purpose report including:</w:t>
            </w:r>
          </w:p>
          <w:p w:rsidR="00000000" w:rsidRPr="003C5994" w:rsidP="003C5994">
            <w:pPr>
              <w:pStyle w:val="ListBullet2"/>
            </w:pPr>
            <w:r w:rsidRPr="003C5994">
              <w:t>documenting a fit-for-purpose report that includes assessment resu</w:t>
            </w:r>
            <w:r w:rsidRPr="003C5994">
              <w:t>lts concerning explosion-protection integrity of the equipment or system, the processes taken and justification for the outcomes</w:t>
            </w:r>
          </w:p>
          <w:p w:rsidR="00000000" w:rsidRPr="003C5994" w:rsidP="003C5994">
            <w:pPr>
              <w:pStyle w:val="ListBullet2"/>
            </w:pPr>
            <w:r w:rsidRPr="003C5994">
              <w:t>forwarding the fit-for-purpose report and all appended documents to the person responsible for maintaining compliance records.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13" w:name="O_1242750"/>
      <w:bookmarkEnd w:id="13"/>
      <w:r w:rsidRPr="003C5994">
        <w:t>Knowledge Evidence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3C5994">
            <w:pPr>
              <w:pStyle w:val="BodyText"/>
              <w:rPr>
                <w:lang w:val="en-NZ"/>
              </w:rPr>
            </w:pPr>
            <w:r w:rsidRPr="003C5994">
              <w:t xml:space="preserve">Evidence required to demonstrate competence in this unit must be relevant to and satisfy all of the requirements of the elements and performance criteria and include knowledge of: </w:t>
            </w:r>
          </w:p>
        </w:tc>
      </w:tr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ListBullet"/>
            </w:pPr>
            <w:r w:rsidRPr="003C5994">
              <w:t>standards and codes of practice including:</w:t>
            </w:r>
          </w:p>
          <w:p w:rsidR="00000000" w:rsidRPr="003C5994" w:rsidP="003C5994">
            <w:pPr>
              <w:pStyle w:val="ListBullet2"/>
            </w:pPr>
            <w:r w:rsidRPr="003C5994">
              <w:t>compliance requirements in standards/codes applicable to the equipment or system at the time of installation</w:t>
            </w:r>
          </w:p>
          <w:p w:rsidR="00000000" w:rsidRPr="003C5994" w:rsidP="003C5994">
            <w:pPr>
              <w:pStyle w:val="ListBullet2"/>
            </w:pPr>
            <w:r w:rsidRPr="003C5994">
              <w:t>compliance requirements in current standards applicable to the equipment or system</w:t>
            </w:r>
          </w:p>
          <w:p w:rsidR="00000000" w:rsidRPr="003C5994" w:rsidP="003C5994">
            <w:pPr>
              <w:pStyle w:val="ListBullet2"/>
            </w:pPr>
            <w:r w:rsidRPr="003C5994">
              <w:t>means of accessing older and redundant standards and design documentation</w:t>
            </w:r>
          </w:p>
          <w:p w:rsidR="00000000" w:rsidRPr="003C5994" w:rsidP="003C5994">
            <w:pPr>
              <w:pStyle w:val="ListBullet"/>
            </w:pPr>
            <w:r w:rsidRPr="003C5994">
              <w:t>explosion-protected equipment and systems including:</w:t>
            </w:r>
          </w:p>
          <w:p w:rsidR="00000000" w:rsidRPr="003C5994" w:rsidP="003C5994">
            <w:pPr>
              <w:pStyle w:val="ListBullet2"/>
            </w:pPr>
            <w:r w:rsidRPr="003C5994">
              <w:t>explosion-protection aspects specified in current and redundant standards</w:t>
            </w:r>
          </w:p>
          <w:p w:rsidR="00000000" w:rsidRPr="003C5994" w:rsidP="003C5994">
            <w:pPr>
              <w:pStyle w:val="ListBullet2"/>
            </w:pPr>
            <w:r w:rsidRPr="003C5994">
              <w:t>equipment or system specifications and parameters rel</w:t>
            </w:r>
            <w:r w:rsidRPr="003C5994">
              <w:t>evant to the assessment</w:t>
            </w:r>
          </w:p>
          <w:p w:rsidR="00000000" w:rsidRPr="003C5994" w:rsidP="003C5994">
            <w:pPr>
              <w:pStyle w:val="ListBullet2"/>
            </w:pPr>
            <w:r w:rsidRPr="003C5994">
              <w:t>scope for developing a specification given design documentation is unavailable</w:t>
            </w:r>
          </w:p>
          <w:p w:rsidR="00000000" w:rsidRPr="003C5994" w:rsidP="003C5994">
            <w:pPr>
              <w:pStyle w:val="ListBullet"/>
            </w:pPr>
            <w:r w:rsidRPr="003C5994">
              <w:t>measurement and testing including:</w:t>
            </w:r>
          </w:p>
          <w:p w:rsidR="00000000" w:rsidRPr="003C5994" w:rsidP="003C5994">
            <w:pPr>
              <w:pStyle w:val="ListBullet2"/>
            </w:pPr>
            <w:r w:rsidRPr="003C5994">
              <w:t>measurements and tests specified in standards</w:t>
            </w:r>
          </w:p>
          <w:p w:rsidR="00000000" w:rsidRPr="003C5994" w:rsidP="003C5994">
            <w:pPr>
              <w:pStyle w:val="ListBullet2"/>
            </w:pPr>
            <w:r w:rsidRPr="003C5994">
              <w:t>alternate ‘equivalent’ tests or calculations</w:t>
            </w:r>
          </w:p>
          <w:p w:rsidR="00000000" w:rsidRPr="003C5994" w:rsidP="003C5994">
            <w:pPr>
              <w:pStyle w:val="ListBullet2"/>
            </w:pPr>
            <w:r w:rsidRPr="003C5994">
              <w:t>measuring and testing pro</w:t>
            </w:r>
            <w:r w:rsidRPr="003C5994">
              <w:t>cedures including:</w:t>
            </w:r>
          </w:p>
          <w:p w:rsidR="00000000" w:rsidRPr="003C5994" w:rsidP="003C5994">
            <w:pPr>
              <w:pStyle w:val="ListBullet3"/>
            </w:pPr>
            <w:r w:rsidRPr="003C5994">
              <w:t>calibration and certification of required devices</w:t>
            </w:r>
          </w:p>
          <w:p w:rsidR="00000000" w:rsidRPr="003C5994" w:rsidP="003C5994">
            <w:pPr>
              <w:pStyle w:val="ListBullet3"/>
            </w:pPr>
            <w:r w:rsidRPr="003C5994">
              <w:t>safe work methods</w:t>
            </w:r>
          </w:p>
          <w:p w:rsidR="00000000" w:rsidRPr="003C5994" w:rsidP="003C5994">
            <w:pPr>
              <w:pStyle w:val="ListBullet2"/>
            </w:pPr>
            <w:r w:rsidRPr="003C5994">
              <w:t>availability and use of third party testing facilities</w:t>
            </w:r>
          </w:p>
          <w:p w:rsidR="00000000" w:rsidRPr="003C5994" w:rsidP="003C5994">
            <w:pPr>
              <w:pStyle w:val="ListBullet"/>
            </w:pPr>
            <w:r w:rsidRPr="003C5994">
              <w:t>assessment process including:</w:t>
            </w:r>
          </w:p>
          <w:p w:rsidR="00000000" w:rsidRPr="003C5994" w:rsidP="003C5994">
            <w:pPr>
              <w:pStyle w:val="ListBullet2"/>
            </w:pPr>
            <w:r w:rsidRPr="003C5994">
              <w:t>data and information required</w:t>
            </w:r>
          </w:p>
          <w:p w:rsidR="00000000" w:rsidRPr="003C5994" w:rsidP="003C5994">
            <w:pPr>
              <w:pStyle w:val="ListBullet2"/>
            </w:pPr>
            <w:r w:rsidRPr="003C5994">
              <w:t>comparing information gathered with requirement in standards</w:t>
            </w:r>
          </w:p>
          <w:p w:rsidR="00000000" w:rsidRPr="003C5994" w:rsidP="003C5994">
            <w:pPr>
              <w:pStyle w:val="ListBullet2"/>
            </w:pPr>
            <w:r w:rsidRPr="003C5994">
              <w:t>limits of remedial work</w:t>
            </w:r>
          </w:p>
          <w:p w:rsidR="00000000" w:rsidRPr="003C5994" w:rsidP="003C5994">
            <w:pPr>
              <w:pStyle w:val="ListBullet2"/>
            </w:pPr>
            <w:r w:rsidRPr="003C5994">
              <w:t>content of a fit-for-purpose report.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14" w:name="O_1242751"/>
      <w:bookmarkEnd w:id="14"/>
      <w:r w:rsidRPr="003C5994">
        <w:t>Assessment Conditions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3C5994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3C5994" w:rsidP="003C5994">
            <w:pPr>
              <w:pStyle w:val="BodyText"/>
            </w:pPr>
            <w:r w:rsidRPr="003C5994">
              <w:t xml:space="preserve">Assessors must hold credentials specified within the Standards for Registered Training Organisations current at the time of assessment. </w:t>
            </w:r>
          </w:p>
          <w:p w:rsidR="00000000" w:rsidRPr="003C5994" w:rsidP="003C5994">
            <w:pPr>
              <w:pStyle w:val="BodyText"/>
            </w:pPr>
            <w:r w:rsidRPr="003C5994">
              <w:t>Assessment must satisfy the Principles of Assessment and Rules of Evidence and all regulatory requirements included wit</w:t>
            </w:r>
            <w:r w:rsidRPr="003C5994">
              <w:t>hin the Standards for Registered Training Organisations current at the time of assessment.</w:t>
            </w:r>
          </w:p>
          <w:p w:rsidR="00000000" w:rsidRPr="003C5994" w:rsidP="003C5994">
            <w:pPr>
              <w:pStyle w:val="BodyText"/>
            </w:pPr>
            <w:r w:rsidRPr="003C5994">
              <w:t>Assessment must occur in workplace operational situations where it is appropriate to do so; where this is not appropriate, assessment must occur in simulated workpla</w:t>
            </w:r>
            <w:r w:rsidRPr="003C5994">
              <w:t>ce operational situations that replicate workplace conditions.</w:t>
            </w:r>
          </w:p>
          <w:p w:rsidR="00000000" w:rsidRPr="003C5994" w:rsidP="003C5994">
            <w:pPr>
              <w:pStyle w:val="BodyText"/>
            </w:pPr>
            <w:r w:rsidRPr="003C5994">
              <w:t>Assessment processes and techniques must be appropriate to the language, literacy and numeracy requirements of the work being performed and the needs of the candidate.</w:t>
            </w:r>
          </w:p>
          <w:p w:rsidR="00000000" w:rsidRPr="003C5994" w:rsidP="003C5994">
            <w:pPr>
              <w:pStyle w:val="BodyText"/>
            </w:pPr>
            <w:r w:rsidRPr="003C5994">
              <w:t xml:space="preserve">Resources for assessment </w:t>
            </w:r>
            <w:r w:rsidRPr="003C5994">
              <w:t>must include access to:</w:t>
            </w:r>
          </w:p>
          <w:p w:rsidR="00000000" w:rsidRPr="003C5994" w:rsidP="003C5994">
            <w:pPr>
              <w:pStyle w:val="ListBullet"/>
            </w:pPr>
            <w:r w:rsidRPr="003C5994">
              <w:t>a range of relevant exercises, case studies and/or other simulations</w:t>
            </w:r>
          </w:p>
          <w:p w:rsidR="00000000" w:rsidRPr="003C5994" w:rsidP="003C5994">
            <w:pPr>
              <w:pStyle w:val="ListBullet"/>
            </w:pPr>
            <w:r w:rsidRPr="003C5994">
              <w:t>relevant and appropriate tools and testing devices and PPE currently used in industry</w:t>
            </w:r>
          </w:p>
          <w:p w:rsidR="00000000" w:rsidRPr="003C5994" w:rsidP="003C5994">
            <w:pPr>
              <w:pStyle w:val="ListBullet"/>
            </w:pPr>
            <w:r w:rsidRPr="003C5994">
              <w:t>safe work methods</w:t>
            </w:r>
          </w:p>
          <w:p w:rsidR="00000000" w:rsidRPr="003C5994" w:rsidP="003C5994">
            <w:pPr>
              <w:pStyle w:val="ListBullet"/>
            </w:pPr>
            <w:r w:rsidRPr="003C5994">
              <w:t>compliance records (verification dossier) for the site.</w:t>
            </w:r>
          </w:p>
          <w:p w:rsidR="00000000" w:rsidRPr="003C5994" w:rsidP="003C5994">
            <w:pPr>
              <w:pStyle w:val="ListBullet"/>
            </w:pPr>
            <w:r w:rsidRPr="003C5994">
              <w:t>equipment subject to the assessment:</w:t>
            </w:r>
          </w:p>
          <w:p w:rsidR="00000000" w:rsidRPr="003C5994" w:rsidP="003C5994">
            <w:pPr>
              <w:pStyle w:val="ListBullet2"/>
            </w:pPr>
            <w:r w:rsidRPr="003C5994">
              <w:t>single items</w:t>
            </w:r>
          </w:p>
          <w:p w:rsidR="00000000" w:rsidRPr="003C5994" w:rsidP="003C5994">
            <w:pPr>
              <w:pStyle w:val="ListBullet2"/>
            </w:pPr>
            <w:r w:rsidRPr="003C5994">
              <w:t>packaged equipment</w:t>
            </w:r>
          </w:p>
          <w:p w:rsidR="00000000" w:rsidRPr="003C5994" w:rsidP="003C5994">
            <w:pPr>
              <w:pStyle w:val="ListBullet"/>
            </w:pPr>
            <w:r w:rsidRPr="003C5994">
              <w:t>certification documentation and related hazardous area compliance standards for which the certification was granted</w:t>
            </w:r>
          </w:p>
          <w:p w:rsidR="00000000" w:rsidRPr="003C5994" w:rsidP="003C5994">
            <w:pPr>
              <w:pStyle w:val="ListBullet"/>
            </w:pPr>
            <w:r w:rsidRPr="003C5994">
              <w:t>standards against which compliance is sought</w:t>
            </w:r>
          </w:p>
          <w:p w:rsidR="00000000" w:rsidRPr="003C5994" w:rsidP="003C5994">
            <w:pPr>
              <w:pStyle w:val="ListBullet"/>
            </w:pPr>
            <w:r w:rsidRPr="003C5994">
              <w:t>relevant measurement and</w:t>
            </w:r>
            <w:r w:rsidRPr="003C5994">
              <w:t xml:space="preserve"> testing equipment or facility.</w:t>
            </w:r>
          </w:p>
        </w:tc>
      </w:tr>
    </w:tbl>
    <w:p w:rsidR="00000000" w:rsidRPr="003C5994" w:rsidP="003C5994">
      <w:pPr>
        <w:pStyle w:val="NoPaddingFontSize1"/>
      </w:pPr>
    </w:p>
    <w:p w:rsidR="00000000" w:rsidRPr="003C5994" w:rsidP="003C5994">
      <w:pPr>
        <w:pStyle w:val="AllowPageBreak"/>
      </w:pPr>
    </w:p>
    <w:p w:rsidR="00000000" w:rsidRPr="003C5994" w:rsidP="003C5994">
      <w:pPr>
        <w:pStyle w:val="Heading1"/>
      </w:pPr>
      <w:bookmarkStart w:id="15" w:name="O_1242754"/>
      <w:bookmarkEnd w:id="15"/>
      <w:r w:rsidRPr="003C5994">
        <w:t>Links</w:t>
      </w:r>
    </w:p>
    <w:p w:rsidR="00000000" w:rsidRPr="003C5994" w:rsidP="00B9016F">
      <w:pPr>
        <w:pStyle w:val="BodyText"/>
      </w:pPr>
      <w:r w:rsidRPr="003C5994">
        <w:t xml:space="preserve">Companion Volume Implementation Guides are found in VETNet - </w:t>
      </w:r>
      <w:r>
        <w:fldChar w:fldCharType="begin"/>
      </w:r>
      <w:r>
        <w:instrText xml:space="preserve"> HYPERLINK "https://vetnet.gov.au/Pages/TrainingDocs.aspx?q=b8a8f136-5421-4ce1-92e0-2b50341431b6" </w:instrText>
      </w:r>
      <w:r>
        <w:fldChar w:fldCharType="separate"/>
      </w:r>
      <w:r w:rsidRPr="00DB688C">
        <w:rPr>
          <w:rStyle w:val="Hyperlink"/>
        </w:rPr>
        <w:t>https://vetnet.gov.au/Pages/TrainingDocs.aspx?q=b8a8f136-5421-4ce1-92e0-2b50341431b6</w:t>
      </w:r>
      <w:r>
        <w:fldChar w:fldCharType="end"/>
      </w:r>
    </w:p>
    <w:p w:rsidR="00000000" w:rsidRPr="003C5994" w:rsidP="003C5994"/>
    <w:sectPr w:rsidSect="003C5994">
      <w:headerReference w:type="default" r:id="rId12"/>
      <w:footerReference w:type="default" r:id="rId13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 w:rsidRPr="00B9016F" w:rsidP="00B9016F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16F" w:rsidP="003C5994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5</w:t>
    </w:r>
    <w:r>
      <w:rPr>
        <w:noProof/>
      </w:rPr>
      <w:fldChar w:fldCharType="end"/>
    </w:r>
  </w:p>
  <w:p w:rsidR="00B9016F" w:rsidP="003C5994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2025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Powering Skills Organisation</w:t>
    </w:r>
    <w:r>
      <w:fldChar w:fldCharType="end"/>
    </w:r>
  </w:p>
  <w:p w:rsidR="00B9016F" w:rsidP="003C5994">
    <w:pPr>
      <w:pStyle w:val="Footer"/>
      <w:framePr w:wrap="around"/>
      <w:pBdr>
        <w:top w:val="nil"/>
      </w:pBd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 w:rsidP="003C5994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 w:rsidR="00B9016F">
      <w:t>Approved</w:t>
    </w:r>
    <w:r w:rsidR="00B9016F"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 w:rsidR="00B9016F">
      <w:rPr>
        <w:noProof/>
      </w:rPr>
      <w:t>5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 w:rsidR="00B9016F">
      <w:rPr>
        <w:noProof/>
      </w:rPr>
      <w:t>5</w:t>
    </w:r>
    <w:r>
      <w:rPr>
        <w:noProof/>
      </w:rPr>
      <w:fldChar w:fldCharType="end"/>
    </w:r>
  </w:p>
  <w:p w:rsidR="003C5994" w:rsidP="003C5994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 w:rsidR="00B9016F">
      <w:rPr>
        <w:noProof/>
      </w:rPr>
      <w:t>2025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 w:rsidR="00B9016F">
      <w:t>Powering Skills Organisation</w:t>
    </w:r>
    <w:r w:rsidR="00B9016F">
      <w:fldChar w:fldCharType="end"/>
    </w:r>
  </w:p>
  <w:p w:rsidR="003C5994" w:rsidP="003C5994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16F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3C5994" w:rsidRPr="00B9016F" w:rsidP="00B9016F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16F" w:rsidRPr="002D2AF8" w:rsidP="003C5994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UEEHA0016 Assess the fitness-for-purpose of explosion-protected equipment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2 March 2025</w:t>
    </w:r>
    <w:r>
      <w:fldChar w:fldCharType="end"/>
    </w:r>
  </w:p>
  <w:p w:rsidR="00B9016F" w:rsidP="003C5994">
    <w:pPr>
      <w:pStyle w:val="Header"/>
      <w:framePr w:wrap="around"/>
      <w:pBdr>
        <w:bottom w:val="nil"/>
      </w:pBd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5994" w:rsidRPr="002D2AF8" w:rsidP="003C5994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 w:rsidR="00B9016F">
      <w:t>UEEHA0016 Assess the fitness-for-purpose of explosion-protected equipment</w:t>
    </w:r>
    <w:r w:rsidR="00B9016F"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 w:rsidR="00B9016F">
      <w:rPr>
        <w:noProof/>
      </w:rPr>
      <w:t>2 March 2025</w:t>
    </w:r>
    <w:r>
      <w:fldChar w:fldCharType="end"/>
    </w:r>
  </w:p>
  <w:p w:rsidR="003C5994" w:rsidP="003C5994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3"/>
    <w:multiLevelType w:val="singleLevel"/>
    <w:tmpl w:val="7236FB2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7">
    <w:nsid w:val="FFFFFF89"/>
    <w:multiLevelType w:val="singleLevel"/>
    <w:tmpl w:val="A1ACECF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FFFFFFFE"/>
    <w:multiLevelType w:val="singleLevel"/>
    <w:tmpl w:val="F3C097F2"/>
    <w:lvl w:ilvl="0">
      <w:start w:val="0"/>
      <w:numFmt w:val="bullet"/>
      <w:lvlText w:val="*"/>
      <w:lvlJc w:val="left"/>
    </w:lvl>
  </w:abstractNum>
  <w:abstractNum w:abstractNumId="9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1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3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4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5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7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14"/>
  </w:num>
  <w:num w:numId="10">
    <w:abstractNumId w:val="11"/>
  </w:num>
  <w:num w:numId="11">
    <w:abstractNumId w:val="15"/>
  </w:num>
  <w:num w:numId="12">
    <w:abstractNumId w:val="9"/>
  </w:num>
  <w:num w:numId="13">
    <w:abstractNumId w:val="12"/>
  </w:num>
  <w:num w:numId="14">
    <w:abstractNumId w:val="10"/>
  </w:num>
  <w:num w:numId="15">
    <w:abstractNumId w:val="5"/>
  </w:num>
  <w:num w:numId="16">
    <w:abstractNumId w:val="13"/>
  </w:num>
  <w:num w:numId="17">
    <w:abstractNumId w:val="8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 w:unhideWhenUsed="0"/>
    <w:lsdException w:name="List Bullet 3" w:uiPriority="0" w:unhideWhenUsed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5994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3C5994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3C5994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3C5994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3C5994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3C5994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3C5994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3C5994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3C5994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3C5994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3C5994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C5994"/>
  </w:style>
  <w:style w:type="character" w:customStyle="1" w:styleId="Heading1Char">
    <w:name w:val="Heading 1 Char"/>
    <w:basedOn w:val="DefaultParagraphFont"/>
    <w:link w:val="Heading1"/>
    <w:rsid w:val="003C5994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3C5994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3C5994"/>
    <w:rPr>
      <w:rFonts w:ascii="Times New Roman" w:eastAsia="Times New Roman" w:hAnsi="Times New Roman" w:cs="Times New Roman"/>
      <w:sz w:val="24"/>
      <w:lang w:eastAsia="en-US"/>
    </w:rPr>
  </w:style>
  <w:style w:type="paragraph" w:styleId="ListBullet">
    <w:name w:val="List Bullet"/>
    <w:basedOn w:val="List"/>
    <w:rsid w:val="003C5994"/>
    <w:pPr>
      <w:numPr>
        <w:numId w:val="13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3C5994"/>
    <w:rPr>
      <w:b/>
      <w:spacing w:val="0"/>
    </w:rPr>
  </w:style>
  <w:style w:type="paragraph" w:styleId="ListBullet2">
    <w:name w:val="List Bullet 2"/>
    <w:basedOn w:val="List2"/>
    <w:rsid w:val="003C5994"/>
    <w:pPr>
      <w:numPr>
        <w:numId w:val="14"/>
      </w:numPr>
      <w:tabs>
        <w:tab w:val="clear" w:pos="680"/>
      </w:tabs>
    </w:pPr>
  </w:style>
  <w:style w:type="paragraph" w:customStyle="1" w:styleId="SuperHeading">
    <w:name w:val="SuperHeading"/>
    <w:basedOn w:val="Normal"/>
    <w:rsid w:val="003C5994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3C5994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paragraph" w:styleId="ListBullet3">
    <w:name w:val="List Bullet 3"/>
    <w:basedOn w:val="List3"/>
    <w:rsid w:val="003C5994"/>
    <w:pPr>
      <w:numPr>
        <w:numId w:val="3"/>
      </w:numPr>
      <w:tabs>
        <w:tab w:val="clear" w:pos="1021"/>
      </w:tabs>
      <w:ind w:left="1037" w:hanging="357"/>
    </w:pPr>
  </w:style>
  <w:style w:type="paragraph" w:customStyle="1" w:styleId="NoPaddingFontSize1">
    <w:name w:val="No Padding Font Size 1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"/>
      <w:szCs w:val="2"/>
      <w:vertAlign w:val="subscript"/>
    </w:rPr>
  </w:style>
  <w:style w:type="character" w:customStyle="1" w:styleId="Heading2Char">
    <w:name w:val="Heading 2 Char"/>
    <w:basedOn w:val="DefaultParagraphFont"/>
    <w:link w:val="Heading2"/>
    <w:rsid w:val="003C5994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3C5994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3C5994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3C5994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3C5994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3C5994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3C5994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3C5994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3C5994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3C5994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3C5994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3C5994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3C5994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3C5994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3C5994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3C5994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3C5994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3C5994"/>
    <w:pPr>
      <w:tabs>
        <w:tab w:val="left" w:pos="3600"/>
        <w:tab w:val="left" w:pos="3958"/>
      </w:tabs>
    </w:pPr>
  </w:style>
  <w:style w:type="paragraph" w:styleId="List">
    <w:name w:val="List"/>
    <w:basedOn w:val="BodyText"/>
    <w:next w:val="BodyText"/>
    <w:rsid w:val="003C5994"/>
    <w:pPr>
      <w:tabs>
        <w:tab w:val="left" w:pos="340"/>
      </w:tabs>
      <w:spacing w:before="60" w:after="60"/>
      <w:ind w:left="340" w:hanging="340"/>
    </w:pPr>
  </w:style>
  <w:style w:type="paragraph" w:customStyle="1" w:styleId="Note">
    <w:name w:val="Note"/>
    <w:basedOn w:val="BodyText"/>
    <w:rsid w:val="003C5994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3C5994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3C5994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3C5994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Index1">
    <w:name w:val="index 1"/>
    <w:basedOn w:val="Normal"/>
    <w:next w:val="Normal"/>
    <w:semiHidden/>
    <w:rsid w:val="003C5994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3C5994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3C5994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3C5994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3C5994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3C5994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3C5994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3C5994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3C5994"/>
    <w:pPr>
      <w:tabs>
        <w:tab w:val="clear" w:pos="3600"/>
        <w:tab w:val="clear" w:pos="3958"/>
      </w:tabs>
      <w:jc w:val="right"/>
    </w:pPr>
  </w:style>
  <w:style w:type="character" w:styleId="Emphasis">
    <w:name w:val="Emphasis"/>
    <w:basedOn w:val="DefaultParagraphFont"/>
    <w:qFormat/>
    <w:rsid w:val="003C5994"/>
    <w:rPr>
      <w:i/>
    </w:rPr>
  </w:style>
  <w:style w:type="paragraph" w:styleId="Caption">
    <w:name w:val="caption"/>
    <w:basedOn w:val="BodyText"/>
    <w:next w:val="Normal"/>
    <w:qFormat/>
    <w:rsid w:val="003C5994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3C5994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3C5994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3C5994"/>
  </w:style>
  <w:style w:type="paragraph" w:styleId="TableofFigures">
    <w:name w:val="table of figures"/>
    <w:basedOn w:val="Normal"/>
    <w:next w:val="Normal"/>
    <w:semiHidden/>
    <w:rsid w:val="003C5994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3C5994"/>
    <w:pPr>
      <w:numPr>
        <w:numId w:val="16"/>
      </w:numPr>
      <w:tabs>
        <w:tab w:val="clear" w:pos="340"/>
      </w:tabs>
    </w:pPr>
  </w:style>
  <w:style w:type="character" w:customStyle="1" w:styleId="WingdingSymbols">
    <w:name w:val="Wingding Symbols"/>
    <w:rsid w:val="003C5994"/>
    <w:rPr>
      <w:rFonts w:ascii="Wingdings" w:hAnsi="Wingdings"/>
    </w:rPr>
  </w:style>
  <w:style w:type="paragraph" w:customStyle="1" w:styleId="TableHeading">
    <w:name w:val="Table Heading"/>
    <w:basedOn w:val="HeadingBase"/>
    <w:rsid w:val="003C5994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3C5994"/>
    <w:rPr>
      <w:color w:val="0033CC"/>
      <w:u w:val="none"/>
    </w:rPr>
  </w:style>
  <w:style w:type="paragraph" w:customStyle="1" w:styleId="BodyTextRight">
    <w:name w:val="Body Text Right"/>
    <w:basedOn w:val="BodyText"/>
    <w:rsid w:val="003C5994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3C5994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3C5994"/>
    <w:pPr>
      <w:numPr>
        <w:numId w:val="11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3C5994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3C5994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3C5994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3C5994"/>
    <w:rPr>
      <w:sz w:val="32"/>
    </w:rPr>
  </w:style>
  <w:style w:type="paragraph" w:customStyle="1" w:styleId="HeadingProcedure">
    <w:name w:val="Heading Procedure"/>
    <w:basedOn w:val="HeadingBase"/>
    <w:next w:val="Normal"/>
    <w:rsid w:val="003C5994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3C5994"/>
    <w:pPr>
      <w:spacing w:before="60" w:after="60"/>
    </w:pPr>
  </w:style>
  <w:style w:type="paragraph" w:styleId="ListContinue">
    <w:name w:val="List Continue"/>
    <w:basedOn w:val="List"/>
    <w:rsid w:val="003C5994"/>
    <w:pPr>
      <w:ind w:firstLine="0"/>
    </w:pPr>
  </w:style>
  <w:style w:type="paragraph" w:customStyle="1" w:styleId="ListNote">
    <w:name w:val="List Note"/>
    <w:basedOn w:val="List"/>
    <w:rsid w:val="003C5994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3C5994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3C5994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3C5994"/>
    <w:rPr>
      <w:rFonts w:ascii="Courier New" w:hAnsi="Courier New"/>
    </w:rPr>
  </w:style>
  <w:style w:type="paragraph" w:customStyle="1" w:styleId="NoteBullet">
    <w:name w:val="Note Bullet"/>
    <w:basedOn w:val="Note"/>
    <w:rsid w:val="003C5994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3C5994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3C5994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3C5994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3C5994"/>
    <w:pPr>
      <w:numPr>
        <w:numId w:val="12"/>
      </w:numPr>
    </w:pPr>
  </w:style>
  <w:style w:type="paragraph" w:styleId="PlainText">
    <w:name w:val="Plain Text"/>
    <w:basedOn w:val="Normal"/>
    <w:link w:val="PlainTextChar"/>
    <w:rsid w:val="003C5994"/>
    <w:rPr>
      <w:sz w:val="20"/>
    </w:rPr>
  </w:style>
  <w:style w:type="character" w:customStyle="1" w:styleId="PlainTextChar">
    <w:name w:val="Plain Text Char"/>
    <w:basedOn w:val="DefaultParagraphFont"/>
    <w:link w:val="PlainText"/>
    <w:rsid w:val="003C5994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3C5994"/>
    <w:rPr>
      <w:b/>
      <w:smallCaps/>
    </w:rPr>
  </w:style>
  <w:style w:type="paragraph" w:customStyle="1" w:styleId="TableListNumber">
    <w:name w:val="Table List Number"/>
    <w:basedOn w:val="ListNumber"/>
    <w:rsid w:val="003C5994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3C5994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3C5994"/>
    <w:pPr>
      <w:numPr>
        <w:numId w:val="10"/>
      </w:numPr>
    </w:pPr>
  </w:style>
  <w:style w:type="paragraph" w:customStyle="1" w:styleId="ListAlpha2">
    <w:name w:val="List Alpha 2"/>
    <w:basedOn w:val="List2"/>
    <w:rsid w:val="003C5994"/>
    <w:pPr>
      <w:numPr>
        <w:numId w:val="9"/>
      </w:numPr>
    </w:pPr>
  </w:style>
  <w:style w:type="paragraph" w:styleId="List2">
    <w:name w:val="List 2"/>
    <w:basedOn w:val="BodyText"/>
    <w:rsid w:val="003C5994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3C5994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3C5994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3C5994"/>
    <w:pPr>
      <w:tabs>
        <w:tab w:val="left" w:pos="1701"/>
      </w:tabs>
      <w:spacing w:before="60" w:after="60"/>
      <w:ind w:left="1701" w:hanging="340"/>
    </w:pPr>
  </w:style>
  <w:style w:type="paragraph" w:styleId="ListBullet4">
    <w:name w:val="List Bullet 4"/>
    <w:basedOn w:val="List4"/>
    <w:rsid w:val="003C5994"/>
    <w:pPr>
      <w:numPr>
        <w:numId w:val="4"/>
      </w:numPr>
      <w:tabs>
        <w:tab w:val="clear" w:pos="1361"/>
      </w:tabs>
    </w:pPr>
  </w:style>
  <w:style w:type="paragraph" w:styleId="ListBullet5">
    <w:name w:val="List Bullet 5"/>
    <w:basedOn w:val="List5"/>
    <w:rsid w:val="003C5994"/>
    <w:pPr>
      <w:numPr>
        <w:numId w:val="5"/>
      </w:numPr>
    </w:pPr>
  </w:style>
  <w:style w:type="paragraph" w:styleId="ListContinue2">
    <w:name w:val="List Continue 2"/>
    <w:basedOn w:val="List2"/>
    <w:rsid w:val="003C5994"/>
    <w:pPr>
      <w:ind w:firstLine="0"/>
    </w:pPr>
  </w:style>
  <w:style w:type="paragraph" w:styleId="ListContinue3">
    <w:name w:val="List Continue 3"/>
    <w:basedOn w:val="List3"/>
    <w:rsid w:val="003C5994"/>
    <w:pPr>
      <w:ind w:left="1021" w:firstLine="0"/>
    </w:pPr>
  </w:style>
  <w:style w:type="paragraph" w:styleId="ListContinue4">
    <w:name w:val="List Continue 4"/>
    <w:basedOn w:val="List4"/>
    <w:rsid w:val="003C5994"/>
    <w:pPr>
      <w:ind w:firstLine="0"/>
    </w:pPr>
  </w:style>
  <w:style w:type="paragraph" w:styleId="ListContinue5">
    <w:name w:val="List Continue 5"/>
    <w:basedOn w:val="List5"/>
    <w:rsid w:val="003C5994"/>
    <w:pPr>
      <w:ind w:firstLine="0"/>
    </w:pPr>
  </w:style>
  <w:style w:type="paragraph" w:styleId="ListNumber3">
    <w:name w:val="List Number 3"/>
    <w:basedOn w:val="List3"/>
    <w:rsid w:val="003C5994"/>
    <w:pPr>
      <w:numPr>
        <w:numId w:val="6"/>
      </w:numPr>
    </w:pPr>
  </w:style>
  <w:style w:type="paragraph" w:styleId="ListNumber4">
    <w:name w:val="List Number 4"/>
    <w:basedOn w:val="List4"/>
    <w:rsid w:val="003C5994"/>
    <w:pPr>
      <w:numPr>
        <w:numId w:val="7"/>
      </w:numPr>
    </w:pPr>
  </w:style>
  <w:style w:type="paragraph" w:styleId="ListNumber5">
    <w:name w:val="List Number 5"/>
    <w:basedOn w:val="List5"/>
    <w:rsid w:val="003C5994"/>
    <w:pPr>
      <w:numPr>
        <w:numId w:val="8"/>
      </w:numPr>
    </w:pPr>
  </w:style>
  <w:style w:type="paragraph" w:styleId="BlockText">
    <w:name w:val="Block Text"/>
    <w:basedOn w:val="Normal"/>
    <w:rsid w:val="003C5994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3C5994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3C5994"/>
    <w:rPr>
      <w:sz w:val="16"/>
      <w:vertAlign w:val="superscript"/>
    </w:rPr>
  </w:style>
  <w:style w:type="character" w:customStyle="1" w:styleId="Symbols">
    <w:name w:val="Symbols"/>
    <w:basedOn w:val="DefaultParagraphFont"/>
    <w:rsid w:val="003C5994"/>
    <w:rPr>
      <w:rFonts w:ascii="Symbol" w:hAnsi="Symbol"/>
    </w:rPr>
  </w:style>
  <w:style w:type="character" w:customStyle="1" w:styleId="MenuOptions">
    <w:name w:val="Menu Options"/>
    <w:basedOn w:val="DefaultParagraphFont"/>
    <w:rsid w:val="003C5994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3C5994"/>
    <w:rPr>
      <w:b/>
    </w:rPr>
  </w:style>
  <w:style w:type="character" w:customStyle="1" w:styleId="Underlined">
    <w:name w:val="Underlined"/>
    <w:basedOn w:val="DefaultParagraphFont"/>
    <w:rsid w:val="003C5994"/>
    <w:rPr>
      <w:u w:val="single"/>
    </w:rPr>
  </w:style>
  <w:style w:type="paragraph" w:customStyle="1" w:styleId="TableBodyTextRight">
    <w:name w:val="Table Body Text Right"/>
    <w:basedOn w:val="TableBodyText"/>
    <w:rsid w:val="003C5994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3C5994"/>
    <w:rPr>
      <w:sz w:val="18"/>
    </w:rPr>
  </w:style>
  <w:style w:type="paragraph" w:customStyle="1" w:styleId="BodySmallRight">
    <w:name w:val="Body Small Right"/>
    <w:basedOn w:val="BodyTextRight"/>
    <w:rsid w:val="003C5994"/>
    <w:rPr>
      <w:sz w:val="18"/>
      <w:szCs w:val="18"/>
    </w:rPr>
  </w:style>
  <w:style w:type="paragraph" w:customStyle="1" w:styleId="MarginEdition">
    <w:name w:val="Margin Edition"/>
    <w:basedOn w:val="MarginNote"/>
    <w:rsid w:val="003C5994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3C5994"/>
    <w:rPr>
      <w:sz w:val="2"/>
      <w:szCs w:val="2"/>
    </w:rPr>
  </w:style>
  <w:style w:type="character" w:customStyle="1" w:styleId="Small">
    <w:name w:val="Small"/>
    <w:basedOn w:val="DefaultParagraphFont"/>
    <w:rsid w:val="003C5994"/>
    <w:rPr>
      <w:sz w:val="16"/>
    </w:rPr>
  </w:style>
  <w:style w:type="paragraph" w:customStyle="1" w:styleId="WideTable">
    <w:name w:val="Wide Table"/>
    <w:basedOn w:val="Normal"/>
    <w:rsid w:val="003C5994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3C5994"/>
  </w:style>
  <w:style w:type="paragraph" w:styleId="Quote">
    <w:name w:val="Quote"/>
    <w:basedOn w:val="Heading1"/>
    <w:link w:val="QuoteChar"/>
    <w:qFormat/>
    <w:rsid w:val="003C5994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3C5994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3C5994"/>
    <w:pPr>
      <w:pageBreakBefore/>
    </w:pPr>
  </w:style>
  <w:style w:type="paragraph" w:customStyle="1" w:styleId="Border">
    <w:name w:val="Border"/>
    <w:basedOn w:val="Normal"/>
    <w:qFormat/>
    <w:rsid w:val="003C5994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3C5994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C5994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C5994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3C5994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3C5994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3C5994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3C5994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3C5994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3C5994"/>
    <w:rPr>
      <w:u w:val="single"/>
    </w:rPr>
  </w:style>
  <w:style w:type="character" w:customStyle="1" w:styleId="BoldandItalics">
    <w:name w:val="Bold and Italics"/>
    <w:qFormat/>
    <w:rsid w:val="003C5994"/>
    <w:rPr>
      <w:b/>
      <w:i/>
      <w:u w:val="none"/>
    </w:rPr>
  </w:style>
  <w:style w:type="paragraph" w:styleId="BalloonText">
    <w:name w:val="Balloon Text"/>
    <w:basedOn w:val="Normal"/>
    <w:link w:val="BalloonTextChar"/>
    <w:rsid w:val="003C59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C5994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3C5994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3C5994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3C5994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3C5994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3C5994"/>
    <w:pPr>
      <w:spacing w:before="0" w:after="0"/>
    </w:pPr>
  </w:style>
  <w:style w:type="paragraph" w:customStyle="1" w:styleId="BodyTextBold">
    <w:name w:val="Body Text Bold"/>
    <w:basedOn w:val="BodyText"/>
    <w:qFormat/>
    <w:rsid w:val="003C5994"/>
    <w:rPr>
      <w:b/>
    </w:rPr>
  </w:style>
  <w:style w:type="character" w:styleId="Hyperlink">
    <w:name w:val="Hyperlink"/>
    <w:basedOn w:val="DefaultParagraphFont"/>
    <w:uiPriority w:val="99"/>
    <w:unhideWhenUsed/>
    <w:rsid w:val="00B9016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header" Target="header5.xml" /><Relationship Id="rId13" Type="http://schemas.openxmlformats.org/officeDocument/2006/relationships/footer" Target="footer5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1511</Words>
  <Characters>9747</Characters>
  <Application>Microsoft Office Word</Application>
  <DocSecurity>0</DocSecurity>
  <Lines>295</Lines>
  <Paragraphs>160</Paragraphs>
  <ScaleCrop>false</ScaleCrop>
  <Company>Author-it Software Corporation Ltd.</Company>
  <LinksUpToDate>false</LinksUpToDate>
  <CharactersWithSpaces>11098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UEEHA0016 Assess the fitness-for-purpose of explosion-protected equipment</dc:title>
  <dc:subject>Approved</dc:subject>
  <dc:creator>Powering Skills Organisation</dc:creator>
  <cp:keywords>Release: 1</cp:keywords>
  <dc:description>Review Date: 12 April 2008</dc:description>
  <cp:lastModifiedBy>HSD_TPCMSd.prod</cp:lastModifiedBy>
  <cp:revision>3</cp:revision>
  <dcterms:created xsi:type="dcterms:W3CDTF">2025-03-01T15:45:00Z</dcterms:created>
  <dcterms:modified xsi:type="dcterms:W3CDTF">2025-03-01T15:45:00Z</dcterms:modified>
</cp:coreProperties>
</file>