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10.0.0 -->
  <w:body>
    <w:p w:rsidR="001809FC" w:rsidP="001809FC">
      <w:pPr>
        <w:pStyle w:val="Title"/>
      </w:pPr>
      <w:r>
        <w:fldChar w:fldCharType="begin"/>
      </w:r>
      <w:r>
        <w:instrText xml:space="preserve"> TITLE   \* MERGEFORMAT </w:instrText>
      </w:r>
      <w:r>
        <w:fldChar w:fldCharType="separate"/>
      </w:r>
      <w:r>
        <w:t>CPCPGS3050A Install Type B gas appliance flues</w:t>
      </w:r>
      <w:r>
        <w:fldChar w:fldCharType="end"/>
      </w:r>
    </w:p>
    <w:p w:rsidR="001809FC" w:rsidP="001809FC">
      <w:pPr>
        <w:pStyle w:val="Version"/>
        <w:sectPr w:rsidSect="00A9252E">
          <w:headerReference w:type="even" r:id="rId4"/>
          <w:headerReference w:type="default" r:id="rId5"/>
          <w:footerReference w:type="even" r:id="rId6"/>
          <w:footerReference w:type="default" r:id="rId7"/>
          <w:headerReference w:type="first" r:id="rId8"/>
          <w:footerReference w:type="first" r:id="rId9"/>
          <w:pgSz w:w="11908" w:h="16833"/>
          <w:pgMar w:top="1700" w:right="1418" w:bottom="1700" w:left="1418" w:header="992" w:footer="992" w:gutter="0"/>
          <w:cols w:space="720"/>
          <w:noEndnote/>
          <w:docGrid w:linePitch="299"/>
        </w:sectPr>
      </w:pPr>
      <w:r>
        <w:fldChar w:fldCharType="begin"/>
      </w:r>
      <w:r>
        <w:instrText xml:space="preserve"> DOCPROPERTY  Keywords  \* MERGEFORMAT </w:instrText>
      </w:r>
      <w:r>
        <w:fldChar w:fldCharType="separate"/>
      </w:r>
      <w:r>
        <w:t>Release 1</w:t>
      </w:r>
      <w:r>
        <w:fldChar w:fldCharType="end"/>
      </w:r>
    </w:p>
    <w:p w:rsidR="00000000" w:rsidRPr="00A9252E" w:rsidP="00A9252E">
      <w:pPr>
        <w:pStyle w:val="SuperHeading"/>
      </w:pPr>
      <w:r w:rsidRPr="00A9252E">
        <w:t>CPCPGS3050A Install Type B gas appliance flues</w:t>
      </w:r>
    </w:p>
    <w:p w:rsidR="00000000" w:rsidRPr="00A9252E" w:rsidP="00A9252E">
      <w:pPr>
        <w:pStyle w:val="Heading1"/>
      </w:pPr>
      <w:bookmarkStart w:id="1" w:name="O_505860"/>
      <w:bookmarkEnd w:id="1"/>
      <w:r w:rsidRPr="00A9252E">
        <w:t>Modification History</w:t>
      </w:r>
    </w:p>
    <w:p w:rsidR="00000000" w:rsidRPr="00A9252E" w:rsidP="00A9252E">
      <w:pPr>
        <w:pStyle w:val="BodyText"/>
      </w:pPr>
      <w:r w:rsidRPr="00A9252E">
        <w:t>Prerequisite unit changed</w:t>
      </w:r>
    </w:p>
    <w:p w:rsidR="00000000" w:rsidRPr="00A9252E" w:rsidP="00A9252E">
      <w:pPr>
        <w:pStyle w:val="BodyText"/>
      </w:pPr>
      <w:r w:rsidRPr="00A9252E">
        <w:t>Minor changes throughout the unit</w:t>
      </w:r>
    </w:p>
    <w:p w:rsidR="001809FC" w:rsidP="00A9252E">
      <w:pPr>
        <w:pStyle w:val="BodyText"/>
      </w:pPr>
      <w:r w:rsidRPr="00A9252E">
        <w:t>Not equivalent to CPCPGS3020A</w:t>
      </w:r>
    </w:p>
    <w:p w:rsidR="001809FC" w:rsidP="00A9252E">
      <w:pPr>
        <w:pStyle w:val="BodyText"/>
      </w:pPr>
    </w:p>
    <w:p w:rsidR="00000000" w:rsidRPr="00A9252E" w:rsidP="00A9252E">
      <w:pPr>
        <w:pStyle w:val="Heading1"/>
      </w:pPr>
      <w:bookmarkStart w:id="2" w:name="O_505861"/>
      <w:bookmarkEnd w:id="2"/>
      <w:r w:rsidRPr="00A9252E">
        <w:t>Unit Descriptor</w:t>
      </w:r>
    </w:p>
    <w:p w:rsidR="00000000" w:rsidRPr="00A9252E" w:rsidP="00A9252E">
      <w:pPr>
        <w:pStyle w:val="BodyText"/>
      </w:pPr>
      <w:r w:rsidRPr="00A9252E">
        <w:t>This unit of competency specifies the outcomes required to install flue systems for Type B gas applianc</w:t>
      </w:r>
      <w:r w:rsidRPr="00A9252E">
        <w:t>es.</w:t>
      </w:r>
    </w:p>
    <w:p w:rsidR="00000000" w:rsidRPr="00A9252E" w:rsidP="00A9252E">
      <w:pPr>
        <w:pStyle w:val="BodyText"/>
      </w:pPr>
      <w:r w:rsidRPr="00A9252E">
        <w:t>Work may also involve the installation of power flue applications.</w:t>
      </w:r>
    </w:p>
    <w:p w:rsidR="001809FC" w:rsidP="00A9252E">
      <w:pPr>
        <w:pStyle w:val="BodyText"/>
      </w:pPr>
      <w:r w:rsidRPr="00A9252E">
        <w:t>The design requirements of this unit are limited to the application of the design to layout and installation.</w:t>
      </w:r>
    </w:p>
    <w:p w:rsidR="001809FC" w:rsidP="00A9252E">
      <w:pPr>
        <w:pStyle w:val="BodyText"/>
      </w:pPr>
    </w:p>
    <w:p w:rsidR="00000000" w:rsidRPr="00A9252E" w:rsidP="00A9252E">
      <w:pPr>
        <w:pStyle w:val="Heading1"/>
      </w:pPr>
      <w:bookmarkStart w:id="3" w:name="O_505862"/>
      <w:bookmarkEnd w:id="3"/>
      <w:r w:rsidRPr="00A9252E">
        <w:t>Application of the Unit</w:t>
      </w:r>
    </w:p>
    <w:p w:rsidR="00000000" w:rsidRPr="00A9252E" w:rsidP="00A9252E">
      <w:pPr>
        <w:pStyle w:val="BodyText"/>
      </w:pPr>
      <w:r w:rsidRPr="00A9252E">
        <w:t>Site location for work applicatio</w:t>
      </w:r>
      <w:r w:rsidRPr="00A9252E">
        <w:t xml:space="preserve">n may be a customer's premises. </w:t>
      </w:r>
    </w:p>
    <w:p w:rsidR="00000000" w:rsidRPr="00A9252E" w:rsidP="00A9252E">
      <w:pPr>
        <w:pStyle w:val="AllowPageBreak"/>
      </w:pPr>
    </w:p>
    <w:p w:rsidR="00000000" w:rsidRPr="00A9252E" w:rsidP="00A9252E">
      <w:pPr>
        <w:pStyle w:val="Heading1"/>
      </w:pPr>
      <w:bookmarkStart w:id="4" w:name="O_505863"/>
      <w:bookmarkEnd w:id="4"/>
      <w:r w:rsidRPr="00A9252E">
        <w:t>Licensing/Regulatory Information</w:t>
      </w:r>
    </w:p>
    <w:p w:rsidR="001809FC" w:rsidP="00A9252E">
      <w:pPr>
        <w:pStyle w:val="BodyText"/>
      </w:pPr>
      <w:r w:rsidRPr="00A9252E">
        <w:t>In some jurisdictions, this unit of competency may form part of accreditation, licensing, legislative, regulatory or certification requirements.</w:t>
      </w:r>
    </w:p>
    <w:p w:rsidR="001809FC" w:rsidP="00A9252E">
      <w:pPr>
        <w:pStyle w:val="BodyText"/>
      </w:pPr>
    </w:p>
    <w:p w:rsidR="00000000" w:rsidRPr="00A9252E" w:rsidP="00A9252E">
      <w:pPr>
        <w:pStyle w:val="Heading1"/>
      </w:pPr>
      <w:bookmarkStart w:id="5" w:name="O_505864"/>
      <w:bookmarkEnd w:id="5"/>
      <w:r w:rsidRPr="00A9252E">
        <w:t>Pre-Requis</w:t>
      </w:r>
      <w:r w:rsidRPr="00A9252E">
        <w:t>ites</w:t>
      </w:r>
    </w:p>
    <w:tbl>
      <w:tblPr>
        <w:tblW w:w="0" w:type="auto"/>
        <w:tblLayout w:type="fixed"/>
        <w:tblCellMar>
          <w:left w:w="62" w:type="dxa"/>
          <w:right w:w="62" w:type="dxa"/>
        </w:tblCellMar>
        <w:tblLook w:val="0000"/>
      </w:tblPr>
      <w:tblGrid>
        <w:gridCol w:w="2203"/>
        <w:gridCol w:w="6868"/>
      </w:tblGrid>
      <w:tr w:rsidTr="00A9252E">
        <w:tblPrEx>
          <w:tblW w:w="0" w:type="auto"/>
          <w:tblLayout w:type="fixed"/>
          <w:tblCellMar>
            <w:left w:w="62" w:type="dxa"/>
            <w:right w:w="62" w:type="dxa"/>
          </w:tblCellMar>
          <w:tblLook w:val="0000"/>
        </w:tblPrEx>
        <w:tc>
          <w:tcPr>
            <w:tcW w:w="2203"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CPCPCM2043A</w:t>
            </w:r>
          </w:p>
        </w:tc>
        <w:tc>
          <w:tcPr>
            <w:tcW w:w="6868"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Carry out WHS requirements</w:t>
            </w:r>
          </w:p>
        </w:tc>
      </w:tr>
    </w:tbl>
    <w:p w:rsidR="00000000" w:rsidRPr="00A9252E" w:rsidP="00A9252E">
      <w:pPr>
        <w:pStyle w:val="BodyText"/>
      </w:pPr>
    </w:p>
    <w:p w:rsidR="00000000" w:rsidRPr="00A9252E" w:rsidP="00A9252E">
      <w:pPr>
        <w:pStyle w:val="AllowPageBreak"/>
      </w:pPr>
    </w:p>
    <w:p w:rsidR="00000000" w:rsidRPr="00A9252E" w:rsidP="00A9252E">
      <w:pPr>
        <w:pStyle w:val="Heading1"/>
      </w:pPr>
      <w:bookmarkStart w:id="6" w:name="O_505865"/>
      <w:bookmarkEnd w:id="6"/>
      <w:r w:rsidRPr="00A9252E">
        <w:t>Employability Skills Information</w:t>
      </w:r>
    </w:p>
    <w:p w:rsidR="001809FC" w:rsidP="00A9252E">
      <w:pPr>
        <w:pStyle w:val="BodyText"/>
      </w:pPr>
      <w:r w:rsidRPr="00A9252E">
        <w:t>This unit contains employability skills.</w:t>
      </w:r>
    </w:p>
    <w:p w:rsidR="001809FC" w:rsidP="00A9252E">
      <w:pPr>
        <w:pStyle w:val="BodyText"/>
      </w:pPr>
    </w:p>
    <w:p w:rsidR="00000000" w:rsidRPr="00A9252E" w:rsidP="00A9252E">
      <w:pPr>
        <w:pStyle w:val="Heading1"/>
      </w:pPr>
      <w:bookmarkStart w:id="7" w:name="O_505866"/>
      <w:bookmarkEnd w:id="7"/>
      <w:r w:rsidRPr="00A9252E">
        <w:t>Elements and Performance Criteria Pre-Content</w:t>
      </w:r>
    </w:p>
    <w:tbl>
      <w:tblPr>
        <w:tblW w:w="0" w:type="auto"/>
        <w:tblLayout w:type="fixed"/>
        <w:tblCellMar>
          <w:left w:w="62" w:type="dxa"/>
          <w:right w:w="62" w:type="dxa"/>
        </w:tblCellMar>
        <w:tblLook w:val="0000"/>
      </w:tblPr>
      <w:tblGrid>
        <w:gridCol w:w="2640"/>
        <w:gridCol w:w="6380"/>
      </w:tblGrid>
      <w:tr w:rsidTr="00A9252E">
        <w:tblPrEx>
          <w:tblW w:w="0" w:type="auto"/>
          <w:tblLayout w:type="fixed"/>
          <w:tblCellMar>
            <w:left w:w="62" w:type="dxa"/>
            <w:right w:w="62" w:type="dxa"/>
          </w:tblCellMar>
          <w:tblLook w:val="0000"/>
        </w:tblPrEx>
        <w:tc>
          <w:tcPr>
            <w:tcW w:w="264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Elements describe the essential outcomes of a unit of competency.</w:t>
            </w:r>
          </w:p>
        </w:tc>
        <w:tc>
          <w:tcPr>
            <w:tcW w:w="638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Performance criteria describe the performance needed to demonstrate achievement of the element. Where bold italicised text is used, further information is detailed in the required skills and</w:t>
            </w:r>
            <w:r w:rsidRPr="00A9252E">
              <w:t xml:space="preserve"> knowledge section and the range statement. Assessment of performance is to be consistent with the evidence guide.</w:t>
            </w:r>
          </w:p>
        </w:tc>
      </w:tr>
    </w:tbl>
    <w:p w:rsidR="00000000" w:rsidRPr="00A9252E" w:rsidP="00A9252E">
      <w:pPr>
        <w:pStyle w:val="BodyText"/>
      </w:pPr>
    </w:p>
    <w:p w:rsidR="00000000" w:rsidRPr="00A9252E" w:rsidP="00A9252E">
      <w:pPr>
        <w:pStyle w:val="AllowPageBreak"/>
      </w:pPr>
    </w:p>
    <w:p w:rsidR="00000000" w:rsidRPr="00A9252E" w:rsidP="00A9252E">
      <w:pPr>
        <w:pStyle w:val="Heading1"/>
      </w:pPr>
      <w:bookmarkStart w:id="8" w:name="O_505867"/>
      <w:bookmarkEnd w:id="8"/>
      <w:r w:rsidRPr="00A9252E">
        <w:t>Elements and Performance Criteria</w:t>
      </w:r>
    </w:p>
    <w:p w:rsidR="00000000" w:rsidRPr="00A9252E" w:rsidP="00A9252E">
      <w:pPr>
        <w:pStyle w:val="BodyText"/>
      </w:pPr>
    </w:p>
    <w:tbl>
      <w:tblPr>
        <w:tblW w:w="0" w:type="auto"/>
        <w:tblLayout w:type="fixed"/>
        <w:tblCellMar>
          <w:left w:w="62" w:type="dxa"/>
          <w:right w:w="62" w:type="dxa"/>
        </w:tblCellMar>
        <w:tblLook w:val="0000"/>
      </w:tblPr>
      <w:tblGrid>
        <w:gridCol w:w="678"/>
        <w:gridCol w:w="1962"/>
        <w:gridCol w:w="770"/>
        <w:gridCol w:w="5610"/>
      </w:tblGrid>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1</w:t>
            </w:r>
          </w:p>
        </w:tc>
        <w:tc>
          <w:tcPr>
            <w:tcW w:w="1962" w:type="dxa"/>
            <w:vMerge w:val="restart"/>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Prepare for work.</w:t>
            </w: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1.1</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Work plans, specifications and any special instructions are obtained.</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1.2</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 xml:space="preserve">Work health and safety </w:t>
            </w:r>
            <w:r w:rsidRPr="00A9252E">
              <w:t xml:space="preserve">(WHS) and </w:t>
            </w:r>
            <w:r w:rsidRPr="00A9252E">
              <w:rPr>
                <w:rStyle w:val="BoldandItalics"/>
              </w:rPr>
              <w:t xml:space="preserve">environmental requirements </w:t>
            </w:r>
            <w:r w:rsidRPr="00A9252E">
              <w:t xml:space="preserve">associated with installing flues for Type B gas appliances are adhered to throughout the work. </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1.3</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Quality assuranc</w:t>
            </w:r>
            <w:r w:rsidRPr="00A9252E">
              <w:rPr>
                <w:rStyle w:val="BoldandItalics"/>
              </w:rPr>
              <w:t>e requirements</w:t>
            </w:r>
            <w:r w:rsidRPr="00A9252E">
              <w:t xml:space="preserve"> for company operations are identified and adhered to. </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1.4</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 xml:space="preserve">Approval of system design is obtained according to </w:t>
            </w:r>
            <w:r w:rsidRPr="00A9252E">
              <w:rPr>
                <w:rStyle w:val="BoldandItalics"/>
              </w:rPr>
              <w:t xml:space="preserve">statutory and regulatory authority </w:t>
            </w:r>
            <w:r w:rsidRPr="00A9252E">
              <w:t xml:space="preserve">and workplace requirements. </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1.5</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Tasks are planned in conjunction with others involved in or affected by the work.</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1.6</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Sequence of work is prioritised to suit job requirements.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1.7</w:t>
            </w:r>
          </w:p>
        </w:tc>
        <w:tc>
          <w:tcPr>
            <w:tcW w:w="561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rPr>
                <w:rStyle w:val="BoldandItalics"/>
              </w:rPr>
              <w:t>Tools and equipment</w:t>
            </w:r>
            <w:r w:rsidRPr="00A9252E">
              <w:rPr>
                <w:rStyle w:val="SpecialBold"/>
              </w:rPr>
              <w:t xml:space="preserve"> </w:t>
            </w:r>
            <w:r w:rsidRPr="00A9252E">
              <w:t xml:space="preserve">are selected consistent with installing a </w:t>
            </w:r>
            <w:r w:rsidRPr="00A9252E">
              <w:rPr>
                <w:rStyle w:val="BoldandItalics"/>
              </w:rPr>
              <w:t>Type B appliance</w:t>
            </w:r>
            <w:r w:rsidRPr="00A9252E">
              <w:t xml:space="preserve"> flue and checked for se</w:t>
            </w:r>
            <w:r w:rsidRPr="00A9252E">
              <w:t xml:space="preserve">rviceability. </w:t>
            </w:r>
          </w:p>
        </w:tc>
      </w:tr>
    </w:tbl>
    <w:p w:rsidR="00000000" w:rsidRPr="00A9252E" w:rsidP="00A9252E">
      <w:pPr>
        <w:pStyle w:val="BodyText"/>
      </w:pPr>
    </w:p>
    <w:tbl>
      <w:tblPr>
        <w:tblW w:w="0" w:type="auto"/>
        <w:tblLayout w:type="fixed"/>
        <w:tblCellMar>
          <w:left w:w="62" w:type="dxa"/>
          <w:right w:w="62" w:type="dxa"/>
        </w:tblCellMar>
        <w:tblLook w:val="0000"/>
      </w:tblPr>
      <w:tblGrid>
        <w:gridCol w:w="678"/>
        <w:gridCol w:w="1962"/>
        <w:gridCol w:w="770"/>
        <w:gridCol w:w="5610"/>
      </w:tblGrid>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2</w:t>
            </w:r>
          </w:p>
        </w:tc>
        <w:tc>
          <w:tcPr>
            <w:tcW w:w="1962" w:type="dxa"/>
            <w:vMerge w:val="restart"/>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Identify flue requirements.</w:t>
            </w: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2.1</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Details of dimensions and loads are checked for compliance with plans and specifications.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2.2</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Size of flue is calculated according to authorities’</w:t>
            </w:r>
            <w:r w:rsidRPr="00A9252E">
              <w:t xml:space="preserve"> requirements and is appropriate for type of appliance </w:t>
            </w:r>
            <w:r w:rsidRPr="00A9252E">
              <w:t>burner.</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2.3</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Flue is selected for type of appliance and its determined route, in compliance with relevant Australian standards.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2.4</w:t>
            </w:r>
          </w:p>
        </w:tc>
        <w:tc>
          <w:tcPr>
            <w:tcW w:w="561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 xml:space="preserve">Quantity and type of </w:t>
            </w:r>
            <w:r w:rsidRPr="00A9252E">
              <w:rPr>
                <w:rStyle w:val="BoldandItalics"/>
              </w:rPr>
              <w:t>materials</w:t>
            </w:r>
            <w:r w:rsidRPr="00A9252E">
              <w:t xml:space="preserve"> for the installation are calculated from plans and specifications. </w:t>
            </w:r>
          </w:p>
        </w:tc>
      </w:tr>
    </w:tbl>
    <w:p w:rsidR="00000000" w:rsidRPr="00A9252E" w:rsidP="00A9252E">
      <w:pPr>
        <w:pStyle w:val="BodyText"/>
      </w:pPr>
    </w:p>
    <w:tbl>
      <w:tblPr>
        <w:tblW w:w="0" w:type="auto"/>
        <w:tblLayout w:type="fixed"/>
        <w:tblCellMar>
          <w:left w:w="62" w:type="dxa"/>
          <w:right w:w="62" w:type="dxa"/>
        </w:tblCellMar>
        <w:tblLook w:val="0000"/>
      </w:tblPr>
      <w:tblGrid>
        <w:gridCol w:w="678"/>
        <w:gridCol w:w="1962"/>
        <w:gridCol w:w="770"/>
        <w:gridCol w:w="5610"/>
      </w:tblGrid>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3</w:t>
            </w:r>
          </w:p>
        </w:tc>
        <w:tc>
          <w:tcPr>
            <w:tcW w:w="1962" w:type="dxa"/>
            <w:vMerge w:val="restart"/>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Install flue.</w:t>
            </w: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3.1</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Preparatory work, including any penetration of walls and rooves, is performed according to industry and workplace requirements.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3.2</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Installation is completed with</w:t>
            </w:r>
            <w:r w:rsidRPr="00A9252E">
              <w:t>out damage or distortion to surrounding environment or other services.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3.3</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Flue is installed in compliance with relevant Australian standards and authorities’ requirements.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3.4</w:t>
            </w:r>
          </w:p>
        </w:tc>
        <w:tc>
          <w:tcPr>
            <w:tcW w:w="561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rPr>
                <w:rStyle w:val="BoldandItalics"/>
              </w:rPr>
              <w:t>Sustainability principles and concepts</w:t>
            </w:r>
            <w:r w:rsidRPr="00A9252E">
              <w:t xml:space="preserve"> are applied throughout the installation.</w:t>
            </w:r>
          </w:p>
        </w:tc>
      </w:tr>
    </w:tbl>
    <w:p w:rsidR="00000000" w:rsidRPr="00A9252E" w:rsidP="00A9252E">
      <w:pPr>
        <w:pStyle w:val="BodyText"/>
      </w:pPr>
    </w:p>
    <w:tbl>
      <w:tblPr>
        <w:tblW w:w="0" w:type="auto"/>
        <w:tblLayout w:type="fixed"/>
        <w:tblCellMar>
          <w:left w:w="62" w:type="dxa"/>
          <w:right w:w="62" w:type="dxa"/>
        </w:tblCellMar>
        <w:tblLook w:val="0000"/>
      </w:tblPr>
      <w:tblGrid>
        <w:gridCol w:w="678"/>
        <w:gridCol w:w="1962"/>
        <w:gridCol w:w="770"/>
        <w:gridCol w:w="5610"/>
      </w:tblGrid>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4</w:t>
            </w:r>
          </w:p>
        </w:tc>
        <w:tc>
          <w:tcPr>
            <w:tcW w:w="1962" w:type="dxa"/>
            <w:vMerge w:val="restart"/>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Clean up.</w:t>
            </w: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4.1</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Work area is cleared and materials disposed of, reused or recycled according to legislation, regulations, codes of practice and job specification.</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4.2</w:t>
            </w:r>
          </w:p>
        </w:tc>
        <w:tc>
          <w:tcPr>
            <w:tcW w:w="5610"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Tools and equipment are cleaned, checked, maintained and stored according to manufacturer recommendations and workplace procedures.</w:t>
            </w:r>
          </w:p>
        </w:tc>
      </w:tr>
      <w:tr w:rsidTr="00A9252E">
        <w:tblPrEx>
          <w:tblW w:w="0" w:type="auto"/>
          <w:tblLayout w:type="fixed"/>
          <w:tblCellMar>
            <w:left w:w="62" w:type="dxa"/>
            <w:right w:w="62" w:type="dxa"/>
          </w:tblCellMar>
          <w:tblLook w:val="0000"/>
        </w:tblPrEx>
        <w:tc>
          <w:tcPr>
            <w:tcW w:w="67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962" w:type="dxa"/>
            <w:vMerge/>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77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4.3</w:t>
            </w:r>
          </w:p>
        </w:tc>
        <w:tc>
          <w:tcPr>
            <w:tcW w:w="5610"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rPr>
                <w:rStyle w:val="BoldandItalics"/>
              </w:rPr>
              <w:t>Information</w:t>
            </w:r>
            <w:r w:rsidRPr="00A9252E">
              <w:rPr>
                <w:rStyle w:val="SpecialBold"/>
              </w:rPr>
              <w:t xml:space="preserve"> </w:t>
            </w:r>
            <w:r w:rsidRPr="00A9252E">
              <w:t xml:space="preserve">is accessed and documentation completed according to workplace requirements. </w:t>
            </w:r>
          </w:p>
        </w:tc>
      </w:tr>
    </w:tbl>
    <w:p w:rsidR="001809FC" w:rsidP="00A9252E">
      <w:pPr>
        <w:pStyle w:val="BodyText"/>
      </w:pPr>
    </w:p>
    <w:p w:rsidR="001809FC" w:rsidP="00A9252E">
      <w:pPr>
        <w:pStyle w:val="BodyText"/>
      </w:pPr>
    </w:p>
    <w:p w:rsidR="00000000" w:rsidRPr="00A9252E" w:rsidP="00A9252E">
      <w:pPr>
        <w:pStyle w:val="Heading1"/>
      </w:pPr>
      <w:bookmarkStart w:id="9" w:name="O_505868"/>
      <w:bookmarkEnd w:id="9"/>
      <w:r w:rsidRPr="00A9252E">
        <w:t>Require</w:t>
      </w:r>
      <w:r w:rsidRPr="00A9252E">
        <w:t>d Skills and Knowledge</w:t>
      </w:r>
    </w:p>
    <w:tbl>
      <w:tblPr>
        <w:tblW w:w="0" w:type="auto"/>
        <w:tblLayout w:type="fixed"/>
        <w:tblCellMar>
          <w:left w:w="62" w:type="dxa"/>
          <w:right w:w="62" w:type="dxa"/>
        </w:tblCellMar>
        <w:tblLook w:val="0000"/>
      </w:tblPr>
      <w:tblGrid>
        <w:gridCol w:w="9179"/>
      </w:tblGrid>
      <w:tr w:rsidTr="00A9252E">
        <w:tblPrEx>
          <w:tblW w:w="0" w:type="auto"/>
          <w:tblLayout w:type="fixed"/>
          <w:tblCellMar>
            <w:left w:w="62" w:type="dxa"/>
            <w:right w:w="62" w:type="dxa"/>
          </w:tblCellMar>
          <w:tblLook w:val="0000"/>
        </w:tblPrEx>
        <w:tc>
          <w:tcPr>
            <w:tcW w:w="9179"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This section describes the skills and knowledge required for this unit.</w:t>
            </w:r>
          </w:p>
        </w:tc>
      </w:tr>
      <w:tr w:rsidTr="00A9252E">
        <w:tblPrEx>
          <w:tblW w:w="0" w:type="auto"/>
          <w:tblLayout w:type="fixed"/>
          <w:tblCellMar>
            <w:left w:w="62" w:type="dxa"/>
            <w:right w:w="62" w:type="dxa"/>
          </w:tblCellMar>
          <w:tblLook w:val="0000"/>
        </w:tblPrEx>
        <w:tc>
          <w:tcPr>
            <w:tcW w:w="9179"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Required skills</w:t>
            </w:r>
          </w:p>
        </w:tc>
      </w:tr>
      <w:tr w:rsidTr="00A9252E">
        <w:tblPrEx>
          <w:tblW w:w="0" w:type="auto"/>
          <w:tblLayout w:type="fixed"/>
          <w:tblCellMar>
            <w:left w:w="62" w:type="dxa"/>
            <w:right w:w="62" w:type="dxa"/>
          </w:tblCellMar>
          <w:tblLook w:val="0000"/>
        </w:tblPrEx>
        <w:tc>
          <w:tcPr>
            <w:tcW w:w="9179"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communication skills to:</w:t>
            </w:r>
          </w:p>
          <w:p w:rsidR="00000000" w:rsidRPr="00A9252E" w:rsidP="00A9252E">
            <w:pPr>
              <w:pStyle w:val="ListBullet2"/>
            </w:pPr>
            <w:r w:rsidRPr="00A9252E">
              <w:t>access information</w:t>
            </w:r>
          </w:p>
          <w:p w:rsidR="00000000" w:rsidRPr="00A9252E" w:rsidP="00A9252E">
            <w:pPr>
              <w:pStyle w:val="ListBullet2"/>
            </w:pPr>
            <w:r w:rsidRPr="00A9252E">
              <w:t>determine requirements</w:t>
            </w:r>
          </w:p>
          <w:p w:rsidR="00000000" w:rsidRPr="00A9252E" w:rsidP="00A9252E">
            <w:pPr>
              <w:pStyle w:val="ListBullet2"/>
            </w:pPr>
            <w:r w:rsidRPr="00A9252E">
              <w:t>enable clear and direct communication, using questioning to identify and confirm requirements, share information, listen and understand</w:t>
            </w:r>
          </w:p>
          <w:p w:rsidR="00000000" w:rsidRPr="00A9252E" w:rsidP="00A9252E">
            <w:pPr>
              <w:pStyle w:val="ListBullet2"/>
            </w:pPr>
            <w:r w:rsidRPr="00A9252E">
              <w:t>follow instructions</w:t>
            </w:r>
          </w:p>
          <w:p w:rsidR="00000000" w:rsidRPr="00A9252E" w:rsidP="00A9252E">
            <w:pPr>
              <w:pStyle w:val="ListBullet2"/>
            </w:pPr>
            <w:r w:rsidRPr="00A9252E">
              <w:t>inform relevant authorities and supervisors of completion of job</w:t>
            </w:r>
          </w:p>
          <w:p w:rsidR="00000000" w:rsidRPr="00A9252E" w:rsidP="00A9252E">
            <w:pPr>
              <w:pStyle w:val="ListBullet2"/>
            </w:pPr>
            <w:r w:rsidRPr="00A9252E">
              <w:t>use language and concepts appropria</w:t>
            </w:r>
            <w:r w:rsidRPr="00A9252E">
              <w:t>te to cultural differences</w:t>
            </w:r>
          </w:p>
          <w:p w:rsidR="00000000" w:rsidRPr="00A9252E" w:rsidP="00A9252E">
            <w:pPr>
              <w:pStyle w:val="ListBullet2"/>
            </w:pPr>
            <w:r w:rsidRPr="00A9252E">
              <w:t>use and interpret non-verbal communication, such as hand signals</w:t>
            </w:r>
          </w:p>
          <w:p w:rsidR="00000000" w:rsidRPr="00A9252E" w:rsidP="00A9252E">
            <w:pPr>
              <w:pStyle w:val="ListBullet"/>
            </w:pPr>
            <w:r w:rsidRPr="00A9252E">
              <w:t xml:space="preserve">initiative and enterprise skills to identify and report to appropriate personnel any faults in tools, equipment or materials </w:t>
            </w:r>
          </w:p>
          <w:p w:rsidR="00000000" w:rsidRPr="00A9252E" w:rsidP="00A9252E">
            <w:pPr>
              <w:pStyle w:val="ListBullet"/>
            </w:pPr>
            <w:r w:rsidRPr="00A9252E">
              <w:t>literacy skills to:</w:t>
            </w:r>
          </w:p>
          <w:p w:rsidR="00000000" w:rsidRPr="00A9252E" w:rsidP="00A9252E">
            <w:pPr>
              <w:pStyle w:val="ListBullet2"/>
            </w:pPr>
            <w:r w:rsidRPr="00A9252E">
              <w:t>complete workpla</w:t>
            </w:r>
            <w:r w:rsidRPr="00A9252E">
              <w:t>ce documentation</w:t>
            </w:r>
          </w:p>
          <w:p w:rsidR="00000000" w:rsidRPr="00A9252E" w:rsidP="00A9252E">
            <w:pPr>
              <w:pStyle w:val="ListBullet2"/>
            </w:pPr>
            <w:r w:rsidRPr="00A9252E">
              <w:t>read and interpret:</w:t>
            </w:r>
          </w:p>
          <w:p w:rsidR="00000000" w:rsidRPr="00A9252E" w:rsidP="00A9252E">
            <w:pPr>
              <w:pStyle w:val="ListBullet3"/>
            </w:pPr>
            <w:r w:rsidRPr="00A9252E">
              <w:t>documentation from a variety of sources</w:t>
            </w:r>
          </w:p>
          <w:p w:rsidR="00000000" w:rsidRPr="00A9252E" w:rsidP="00A9252E">
            <w:pPr>
              <w:pStyle w:val="ListBullet3"/>
            </w:pPr>
            <w:r w:rsidRPr="00A9252E">
              <w:t>plans and specifications</w:t>
            </w:r>
          </w:p>
          <w:p w:rsidR="00000000" w:rsidRPr="00A9252E" w:rsidP="00A9252E">
            <w:pPr>
              <w:pStyle w:val="ListBullet2"/>
            </w:pPr>
            <w:r w:rsidRPr="00A9252E">
              <w:t>record data in writing</w:t>
            </w:r>
          </w:p>
          <w:p w:rsidR="00000000" w:rsidRPr="00A9252E" w:rsidP="00A9252E">
            <w:pPr>
              <w:pStyle w:val="ListBullet"/>
            </w:pPr>
            <w:r w:rsidRPr="00A9252E">
              <w:t>numeracy skills to apply measurements and calculations</w:t>
            </w:r>
          </w:p>
          <w:p w:rsidR="00000000" w:rsidRPr="00A9252E" w:rsidP="00A9252E">
            <w:pPr>
              <w:pStyle w:val="ListBullet"/>
            </w:pPr>
            <w:r w:rsidRPr="00A9252E">
              <w:t>planning and organising skills to:</w:t>
            </w:r>
          </w:p>
          <w:p w:rsidR="00000000" w:rsidRPr="00A9252E" w:rsidP="00A9252E">
            <w:pPr>
              <w:pStyle w:val="ListBullet2"/>
            </w:pPr>
            <w:r w:rsidRPr="00A9252E">
              <w:t>plan and set out work</w:t>
            </w:r>
          </w:p>
          <w:p w:rsidR="00000000" w:rsidRPr="00A9252E" w:rsidP="00A9252E">
            <w:pPr>
              <w:pStyle w:val="ListBullet2"/>
            </w:pPr>
            <w:r w:rsidRPr="00A9252E">
              <w:t>plan work with others</w:t>
            </w:r>
          </w:p>
          <w:p w:rsidR="00000000" w:rsidRPr="00A9252E" w:rsidP="00A9252E">
            <w:pPr>
              <w:pStyle w:val="ListBullet"/>
            </w:pPr>
            <w:r w:rsidRPr="00A9252E">
              <w:t>teamwork skills to work with others to action tasks and relate to people from a range of cultural and ethnic backgrounds and with varying physical and mental abilities</w:t>
            </w:r>
          </w:p>
          <w:p w:rsidR="00000000" w:rsidRPr="00A9252E" w:rsidP="00A9252E">
            <w:pPr>
              <w:pStyle w:val="ListBullet"/>
            </w:pPr>
            <w:r w:rsidRPr="00A9252E">
              <w:t>technical skills to install flues for Type B gas appliances</w:t>
            </w:r>
          </w:p>
          <w:p w:rsidR="00000000" w:rsidRPr="00A9252E" w:rsidP="00A9252E">
            <w:pPr>
              <w:pStyle w:val="ListBullet"/>
            </w:pPr>
            <w:r w:rsidRPr="00A9252E">
              <w:t>techn</w:t>
            </w:r>
            <w:r w:rsidRPr="00A9252E">
              <w:t>ology skills to:</w:t>
            </w:r>
          </w:p>
          <w:p w:rsidR="00000000" w:rsidRPr="00A9252E" w:rsidP="00A9252E">
            <w:pPr>
              <w:pStyle w:val="ListBullet2"/>
            </w:pPr>
            <w:r w:rsidRPr="00A9252E">
              <w:t>access and understand site-specific instructions in a variety of media</w:t>
            </w:r>
          </w:p>
          <w:p w:rsidR="00000000" w:rsidRPr="00A9252E" w:rsidP="00A9252E">
            <w:pPr>
              <w:pStyle w:val="ListBullet2"/>
            </w:pPr>
            <w:r w:rsidRPr="00A9252E">
              <w:t>use mobile communication technology</w:t>
            </w:r>
          </w:p>
          <w:p w:rsidR="00000000" w:rsidP="00A9252E">
            <w:pPr>
              <w:pStyle w:val="BodyText"/>
              <w:rPr>
                <w:lang w:val="en-NZ"/>
              </w:rPr>
            </w:pPr>
          </w:p>
        </w:tc>
      </w:tr>
      <w:tr w:rsidTr="00A9252E">
        <w:tblPrEx>
          <w:tblW w:w="0" w:type="auto"/>
          <w:tblLayout w:type="fixed"/>
          <w:tblCellMar>
            <w:left w:w="62" w:type="dxa"/>
            <w:right w:w="62" w:type="dxa"/>
          </w:tblCellMar>
          <w:tblLook w:val="0000"/>
        </w:tblPrEx>
        <w:tc>
          <w:tcPr>
            <w:tcW w:w="9179"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Required knowledge</w:t>
            </w:r>
          </w:p>
        </w:tc>
      </w:tr>
      <w:tr w:rsidTr="00A9252E">
        <w:tblPrEx>
          <w:tblW w:w="0" w:type="auto"/>
          <w:tblLayout w:type="fixed"/>
          <w:tblCellMar>
            <w:left w:w="62" w:type="dxa"/>
            <w:right w:w="62" w:type="dxa"/>
          </w:tblCellMar>
          <w:tblLook w:val="0000"/>
        </w:tblPrEx>
        <w:tc>
          <w:tcPr>
            <w:tcW w:w="9179"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electrical safety and requisite precautions</w:t>
            </w:r>
          </w:p>
          <w:p w:rsidR="00000000" w:rsidRPr="00A9252E" w:rsidP="00A9252E">
            <w:pPr>
              <w:pStyle w:val="ListBullet"/>
            </w:pPr>
            <w:r w:rsidRPr="00A9252E">
              <w:t>how to access relevant information, including codes and technical standards</w:t>
            </w:r>
          </w:p>
          <w:p w:rsidR="00000000" w:rsidRPr="00A9252E" w:rsidP="00A9252E">
            <w:pPr>
              <w:pStyle w:val="ListBullet"/>
            </w:pPr>
            <w:r w:rsidRPr="00A9252E">
              <w:t>job safety analysis (JSA) and safe work method statements (SWMS)</w:t>
            </w:r>
          </w:p>
          <w:p w:rsidR="00000000" w:rsidRPr="00A9252E" w:rsidP="00A9252E">
            <w:pPr>
              <w:pStyle w:val="ListBullet"/>
            </w:pPr>
            <w:r w:rsidRPr="00A9252E">
              <w:t>material requirements determination process</w:t>
            </w:r>
          </w:p>
          <w:p w:rsidR="00000000" w:rsidRPr="00A9252E" w:rsidP="00A9252E">
            <w:pPr>
              <w:pStyle w:val="ListBullet"/>
            </w:pPr>
            <w:r w:rsidRPr="00A9252E">
              <w:t>procedures for installing Type B appliances, including roof and wall pe</w:t>
            </w:r>
            <w:r w:rsidRPr="00A9252E">
              <w:t>netration and flashing</w:t>
            </w:r>
          </w:p>
          <w:p w:rsidR="00000000" w:rsidRPr="00A9252E" w:rsidP="00A9252E">
            <w:pPr>
              <w:pStyle w:val="ListBullet"/>
            </w:pPr>
            <w:r w:rsidRPr="00A9252E">
              <w:t>properties of gas, gas safety, combustion principles, pressure and flow rates</w:t>
            </w:r>
          </w:p>
          <w:p w:rsidR="00000000" w:rsidRPr="00A9252E" w:rsidP="00A9252E">
            <w:pPr>
              <w:pStyle w:val="ListBullet"/>
            </w:pPr>
            <w:r w:rsidRPr="00A9252E">
              <w:t>relevant statutory requirements related to installing flues for Type B appliances</w:t>
            </w:r>
          </w:p>
          <w:p w:rsidR="00000000" w:rsidRPr="00A9252E" w:rsidP="00A9252E">
            <w:pPr>
              <w:pStyle w:val="ListBullet"/>
            </w:pPr>
            <w:r w:rsidRPr="00A9252E">
              <w:t>SI system of measurements</w:t>
            </w:r>
          </w:p>
          <w:p w:rsidR="00000000" w:rsidRPr="00A9252E" w:rsidP="00A9252E">
            <w:pPr>
              <w:pStyle w:val="ListBullet"/>
            </w:pPr>
            <w:r w:rsidRPr="00A9252E">
              <w:t>workplace and equipment safety requirements</w:t>
            </w:r>
          </w:p>
        </w:tc>
      </w:tr>
    </w:tbl>
    <w:p w:rsidR="00000000" w:rsidRPr="00A9252E" w:rsidP="00A9252E">
      <w:pPr>
        <w:pStyle w:val="BodyText"/>
      </w:pPr>
    </w:p>
    <w:p w:rsidR="00000000" w:rsidRPr="00A9252E" w:rsidP="00A9252E">
      <w:pPr>
        <w:pStyle w:val="AllowPageBreak"/>
      </w:pPr>
    </w:p>
    <w:p w:rsidR="00000000" w:rsidRPr="00A9252E" w:rsidP="00A9252E">
      <w:pPr>
        <w:pStyle w:val="Heading1"/>
      </w:pPr>
      <w:bookmarkStart w:id="10" w:name="O_505869"/>
      <w:bookmarkEnd w:id="10"/>
      <w:r w:rsidRPr="00A9252E">
        <w:t>Evidence Guide</w:t>
      </w:r>
    </w:p>
    <w:tbl>
      <w:tblPr>
        <w:tblW w:w="0" w:type="auto"/>
        <w:tblLayout w:type="fixed"/>
        <w:tblCellMar>
          <w:left w:w="62" w:type="dxa"/>
          <w:right w:w="62" w:type="dxa"/>
        </w:tblCellMar>
        <w:tblLook w:val="0000"/>
      </w:tblPr>
      <w:tblGrid>
        <w:gridCol w:w="3682"/>
        <w:gridCol w:w="5497"/>
      </w:tblGrid>
      <w:tr w:rsidTr="00A9252E">
        <w:tblPrEx>
          <w:tblW w:w="0" w:type="auto"/>
          <w:tblLayout w:type="fixed"/>
          <w:tblCellMar>
            <w:left w:w="62" w:type="dxa"/>
            <w:right w:w="62" w:type="dxa"/>
          </w:tblCellMar>
          <w:tblLook w:val="0000"/>
        </w:tblPrEx>
        <w:tc>
          <w:tcPr>
            <w:tcW w:w="9179" w:type="dxa"/>
            <w:gridSpan w:val="2"/>
            <w:tcBorders>
              <w:top w:val="single" w:sz="4" w:space="0" w:color="C0C0C0"/>
              <w:left w:val="nil"/>
              <w:bottom w:val="nil"/>
              <w:right w:val="nil"/>
            </w:tcBorders>
            <w:tcMar>
              <w:top w:w="0" w:type="dxa"/>
              <w:left w:w="62" w:type="dxa"/>
              <w:bottom w:w="0" w:type="dxa"/>
              <w:right w:w="62" w:type="dxa"/>
            </w:tcMar>
          </w:tcPr>
          <w:p w:rsidR="00000000" w:rsidP="00A9252E">
            <w:pPr>
              <w:pStyle w:val="BodyText"/>
              <w:rPr>
                <w:lang w:val="en-NZ"/>
              </w:rPr>
            </w:pPr>
            <w:r w:rsidRPr="00A9252E">
              <w:t>The evidence guide provides advice on assessment and must be read in conjunction with the performance criteria, required skills and knowledge, range statement and the Assessment Guidelines for the Training Package.</w:t>
            </w:r>
          </w:p>
        </w:tc>
      </w:tr>
      <w:tr w:rsidTr="00A9252E">
        <w:tblPrEx>
          <w:tblW w:w="0" w:type="auto"/>
          <w:tblLayout w:type="fixed"/>
          <w:tblCellMar>
            <w:left w:w="62" w:type="dxa"/>
            <w:right w:w="62" w:type="dxa"/>
          </w:tblCellMar>
          <w:tblLook w:val="0000"/>
        </w:tblPrEx>
        <w:tc>
          <w:tcPr>
            <w:tcW w:w="3682"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Overview</w:t>
            </w:r>
            <w:r w:rsidRPr="00A9252E">
              <w:rPr>
                <w:rStyle w:val="SpecialBold"/>
              </w:rPr>
              <w:t xml:space="preserve"> of assessment</w:t>
            </w:r>
          </w:p>
        </w:tc>
        <w:tc>
          <w:tcPr>
            <w:tcW w:w="5497"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This unit of competency could be assessed in the workplace or a close simulation of the workplace environment providing that simulated or project-based assessment techniques fully replicate plumbing and services workplace conditions, materia</w:t>
            </w:r>
            <w:r w:rsidRPr="00A9252E">
              <w:t xml:space="preserve">ls, activities, responsibilities and procedures. </w:t>
            </w:r>
          </w:p>
          <w:p w:rsidR="00000000" w:rsidP="00A9252E">
            <w:pPr>
              <w:pStyle w:val="BodyText"/>
              <w:rPr>
                <w:lang w:val="en-NZ"/>
              </w:rPr>
            </w:pPr>
          </w:p>
        </w:tc>
      </w:tr>
      <w:tr w:rsidTr="00A9252E">
        <w:tblPrEx>
          <w:tblW w:w="0" w:type="auto"/>
          <w:tblLayout w:type="fixed"/>
          <w:tblCellMar>
            <w:left w:w="62" w:type="dxa"/>
            <w:right w:w="62" w:type="dxa"/>
          </w:tblCellMar>
          <w:tblLook w:val="0000"/>
        </w:tblPrEx>
        <w:tc>
          <w:tcPr>
            <w:tcW w:w="3682"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Critical aspects for assessment and evidence required to demonstrate competency in this unit</w:t>
            </w:r>
          </w:p>
        </w:tc>
        <w:tc>
          <w:tcPr>
            <w:tcW w:w="5497"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A person who demonstrates competency in this unit must be able to provide evidence of:</w:t>
            </w:r>
          </w:p>
          <w:p w:rsidR="00000000" w:rsidRPr="00A9252E" w:rsidP="00A9252E">
            <w:pPr>
              <w:pStyle w:val="ListBullet"/>
            </w:pPr>
            <w:r w:rsidRPr="00A9252E">
              <w:t xml:space="preserve">locating, interpreting </w:t>
            </w:r>
            <w:r w:rsidRPr="00A9252E">
              <w:t>and applying relevant information, Australian standards and specifications for the installation of Type B appliance flues</w:t>
            </w:r>
          </w:p>
          <w:p w:rsidR="00000000" w:rsidRPr="00A9252E" w:rsidP="00A9252E">
            <w:pPr>
              <w:pStyle w:val="ListBullet"/>
            </w:pPr>
            <w:r w:rsidRPr="00A9252E">
              <w:t>applying safety requirements throughout the work sequence, including the electrical safety requirements and use of personal prote</w:t>
            </w:r>
            <w:r w:rsidRPr="00A9252E">
              <w:t>ctive clothing and equipment</w:t>
            </w:r>
          </w:p>
          <w:p w:rsidR="00000000" w:rsidRPr="00A9252E" w:rsidP="00A9252E">
            <w:pPr>
              <w:pStyle w:val="ListBullet"/>
            </w:pPr>
            <w:r w:rsidRPr="00A9252E">
              <w:t>given the plans, specifications and regulatory authority approval, installing a mild steel flue from a boiler flue spigot to terminate above the roofline, ensuring:</w:t>
            </w:r>
          </w:p>
          <w:p w:rsidR="00000000" w:rsidRPr="00A9252E" w:rsidP="00A9252E">
            <w:pPr>
              <w:pStyle w:val="ListBullet2"/>
            </w:pPr>
            <w:r w:rsidRPr="00A9252E">
              <w:t>application of sustainability principles and concepts through</w:t>
            </w:r>
            <w:r w:rsidRPr="00A9252E">
              <w:t>out the installation</w:t>
            </w:r>
          </w:p>
          <w:p w:rsidR="00000000" w:rsidRPr="00A9252E" w:rsidP="00A9252E">
            <w:pPr>
              <w:pStyle w:val="ListBullet2"/>
            </w:pPr>
            <w:r w:rsidRPr="00A9252E">
              <w:t>correct identification of location, design and details of proposed installation</w:t>
            </w:r>
          </w:p>
          <w:p w:rsidR="00000000" w:rsidRPr="00A9252E" w:rsidP="00A9252E">
            <w:pPr>
              <w:pStyle w:val="ListBullet2"/>
            </w:pPr>
            <w:r w:rsidRPr="00A9252E">
              <w:t>correct selection and use of appropriate processes, tools and equipment</w:t>
            </w:r>
          </w:p>
          <w:p w:rsidR="00000000" w:rsidRPr="00A9252E" w:rsidP="00A9252E">
            <w:pPr>
              <w:pStyle w:val="ListBullet2"/>
            </w:pPr>
            <w:r w:rsidRPr="00A9252E">
              <w:t>completion of all work to specification</w:t>
            </w:r>
          </w:p>
          <w:p w:rsidR="00000000" w:rsidRPr="00A9252E" w:rsidP="00A9252E">
            <w:pPr>
              <w:pStyle w:val="ListBullet2"/>
            </w:pPr>
            <w:r w:rsidRPr="00A9252E">
              <w:t>compliance with regulations, relevant Austr</w:t>
            </w:r>
            <w:r w:rsidRPr="00A9252E">
              <w:t>alian standards and organisational quality procedures and processes</w:t>
            </w:r>
          </w:p>
          <w:p w:rsidR="00000000" w:rsidRPr="00A9252E" w:rsidP="00A9252E">
            <w:pPr>
              <w:pStyle w:val="ListBullet2"/>
            </w:pPr>
            <w:r w:rsidRPr="00A9252E">
              <w:t>communicating and working effectively and safely with others.</w:t>
            </w:r>
          </w:p>
          <w:p w:rsidR="00000000" w:rsidP="00A9252E">
            <w:pPr>
              <w:pStyle w:val="BodyText"/>
              <w:rPr>
                <w:lang w:val="en-NZ"/>
              </w:rPr>
            </w:pPr>
          </w:p>
        </w:tc>
      </w:tr>
      <w:tr w:rsidTr="00A9252E">
        <w:tblPrEx>
          <w:tblW w:w="0" w:type="auto"/>
          <w:tblLayout w:type="fixed"/>
          <w:tblCellMar>
            <w:left w:w="62" w:type="dxa"/>
            <w:right w:w="62" w:type="dxa"/>
          </w:tblCellMar>
          <w:tblLook w:val="0000"/>
        </w:tblPrEx>
        <w:tc>
          <w:tcPr>
            <w:tcW w:w="3682"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Context of and specific resources for assessment</w:t>
            </w:r>
          </w:p>
        </w:tc>
        <w:tc>
          <w:tcPr>
            <w:tcW w:w="5497"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This competency is to be assessed using standard and authorised work practices, safety requirements and environmental constraints.</w:t>
            </w:r>
          </w:p>
          <w:p w:rsidR="00000000" w:rsidRPr="00A9252E" w:rsidP="00A9252E">
            <w:pPr>
              <w:pStyle w:val="BodyText"/>
            </w:pPr>
            <w:r w:rsidRPr="00A9252E">
              <w:t>Assessment of essential underpinning knowledge will usually be conducted in an off-site context.</w:t>
            </w:r>
          </w:p>
          <w:p w:rsidR="00000000" w:rsidRPr="00A9252E" w:rsidP="00A9252E">
            <w:pPr>
              <w:pStyle w:val="BodyText"/>
            </w:pPr>
            <w:r w:rsidRPr="00A9252E">
              <w:t>Assessment is to comply with</w:t>
            </w:r>
            <w:r w:rsidRPr="00A9252E">
              <w:t xml:space="preserve"> relevant regulatory or Australian standards' requirements.</w:t>
            </w:r>
          </w:p>
          <w:p w:rsidR="00000000" w:rsidRPr="00A9252E" w:rsidP="00A9252E">
            <w:pPr>
              <w:pStyle w:val="BodyText"/>
            </w:pPr>
            <w:r w:rsidRPr="00A9252E">
              <w:t>Resource implications for assessment include:</w:t>
            </w:r>
          </w:p>
          <w:p w:rsidR="00000000" w:rsidRPr="00A9252E" w:rsidP="00A9252E">
            <w:pPr>
              <w:pStyle w:val="ListBullet"/>
            </w:pPr>
            <w:r w:rsidRPr="00A9252E">
              <w:t>an induction procedure and requirement</w:t>
            </w:r>
          </w:p>
          <w:p w:rsidR="00000000" w:rsidRPr="00A9252E" w:rsidP="00A9252E">
            <w:pPr>
              <w:pStyle w:val="ListBullet"/>
            </w:pPr>
            <w:r w:rsidRPr="00A9252E">
              <w:t>realistic tasks or simulated tasks covering the minimum task requirements</w:t>
            </w:r>
          </w:p>
          <w:p w:rsidR="00000000" w:rsidRPr="00A9252E" w:rsidP="00A9252E">
            <w:pPr>
              <w:pStyle w:val="ListBullet"/>
            </w:pPr>
            <w:r w:rsidRPr="00A9252E">
              <w:t>relevant specifications and work ins</w:t>
            </w:r>
            <w:r w:rsidRPr="00A9252E">
              <w:t>tructions</w:t>
            </w:r>
          </w:p>
          <w:p w:rsidR="00000000" w:rsidRPr="00A9252E" w:rsidP="00A9252E">
            <w:pPr>
              <w:pStyle w:val="ListBullet"/>
            </w:pPr>
            <w:r w:rsidRPr="00A9252E">
              <w:t>tools and equipment appropriate to applying safe work practices</w:t>
            </w:r>
          </w:p>
          <w:p w:rsidR="00000000" w:rsidRPr="00A9252E" w:rsidP="00A9252E">
            <w:pPr>
              <w:pStyle w:val="ListBullet"/>
            </w:pPr>
            <w:r w:rsidRPr="00A9252E">
              <w:t>support materials appropriate to activity</w:t>
            </w:r>
          </w:p>
          <w:p w:rsidR="00000000" w:rsidRPr="00A9252E" w:rsidP="00A9252E">
            <w:pPr>
              <w:pStyle w:val="ListBullet"/>
            </w:pPr>
            <w:r w:rsidRPr="00A9252E">
              <w:t>workplace instructions relating to safe work practices and addressing hazards and emergencies</w:t>
            </w:r>
          </w:p>
          <w:p w:rsidR="00000000" w:rsidRPr="00A9252E" w:rsidP="00A9252E">
            <w:pPr>
              <w:pStyle w:val="ListBullet"/>
            </w:pPr>
            <w:r w:rsidRPr="00A9252E">
              <w:t>material safety data sheets</w:t>
            </w:r>
          </w:p>
          <w:p w:rsidR="00000000" w:rsidRPr="00A9252E" w:rsidP="00A9252E">
            <w:pPr>
              <w:pStyle w:val="ListBullet"/>
            </w:pPr>
            <w:r w:rsidRPr="00A9252E">
              <w:t>research resources</w:t>
            </w:r>
            <w:r w:rsidRPr="00A9252E">
              <w:t>, including industry-related systems information.</w:t>
            </w:r>
          </w:p>
          <w:p w:rsidR="00000000" w:rsidRPr="00A9252E" w:rsidP="00A9252E">
            <w:pPr>
              <w:pStyle w:val="BodyText"/>
            </w:pPr>
            <w:r w:rsidRPr="00A9252E">
              <w:t>Reasonable adjustments for people with disabilities must be made to assessment processes where required. This could include access to modified equipment and other physical resources, and the provision of ap</w:t>
            </w:r>
            <w:r w:rsidRPr="00A9252E">
              <w:t xml:space="preserve">propriate assessment support. </w:t>
            </w:r>
          </w:p>
          <w:p w:rsidR="00000000" w:rsidP="00A9252E">
            <w:pPr>
              <w:pStyle w:val="BodyText"/>
              <w:rPr>
                <w:lang w:val="en-NZ"/>
              </w:rPr>
            </w:pPr>
          </w:p>
        </w:tc>
      </w:tr>
      <w:tr w:rsidTr="00A9252E">
        <w:tblPrEx>
          <w:tblW w:w="0" w:type="auto"/>
          <w:tblLayout w:type="fixed"/>
          <w:tblCellMar>
            <w:left w:w="62" w:type="dxa"/>
            <w:right w:w="62" w:type="dxa"/>
          </w:tblCellMar>
          <w:tblLook w:val="0000"/>
        </w:tblPrEx>
        <w:tc>
          <w:tcPr>
            <w:tcW w:w="3682"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Method of assessment</w:t>
            </w:r>
          </w:p>
        </w:tc>
        <w:tc>
          <w:tcPr>
            <w:tcW w:w="5497"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Assessment methods must:</w:t>
            </w:r>
          </w:p>
          <w:p w:rsidR="00000000" w:rsidRPr="00A9252E" w:rsidP="00A9252E">
            <w:pPr>
              <w:pStyle w:val="ListBullet"/>
            </w:pPr>
            <w:r w:rsidRPr="00A9252E">
              <w:t>satisfy the endorsed Assessment Guidelines of the Construction, Plumbing and Services Training Package</w:t>
            </w:r>
          </w:p>
          <w:p w:rsidR="00000000" w:rsidRPr="00A9252E" w:rsidP="00A9252E">
            <w:pPr>
              <w:pStyle w:val="ListBullet"/>
            </w:pPr>
            <w:r w:rsidRPr="00A9252E">
              <w:t>include direct observation of tasks in real or simulated work conditions, with questioning to confirm the ability to consistently identify and correctly interpret the essential underpinning knowledge required for practical application</w:t>
            </w:r>
          </w:p>
          <w:p w:rsidR="00000000" w:rsidRPr="00A9252E" w:rsidP="00A9252E">
            <w:pPr>
              <w:pStyle w:val="ListBullet"/>
            </w:pPr>
            <w:r w:rsidRPr="00A9252E">
              <w:t>reinforce the integra</w:t>
            </w:r>
            <w:r w:rsidRPr="00A9252E">
              <w:t>tion of employability skills with workplace tasks and job roles</w:t>
            </w:r>
          </w:p>
          <w:p w:rsidR="00000000" w:rsidRPr="00A9252E" w:rsidP="00A9252E">
            <w:pPr>
              <w:pStyle w:val="ListBullet"/>
            </w:pPr>
            <w:r w:rsidRPr="00A9252E">
              <w:t>confirm that competency is verified and able to be transferred to other circumstances and environments.</w:t>
            </w:r>
          </w:p>
          <w:p w:rsidR="00000000" w:rsidRPr="00A9252E" w:rsidP="00A9252E">
            <w:pPr>
              <w:pStyle w:val="BodyText"/>
            </w:pPr>
            <w:r w:rsidRPr="00A9252E">
              <w:t>Validity and sufficiency of evidence requires that:</w:t>
            </w:r>
          </w:p>
          <w:p w:rsidR="00000000" w:rsidRPr="00A9252E" w:rsidP="00A9252E">
            <w:pPr>
              <w:pStyle w:val="ListBullet"/>
            </w:pPr>
            <w:r w:rsidRPr="00A9252E">
              <w:t>competency will need to be demonstr</w:t>
            </w:r>
            <w:r w:rsidRPr="00A9252E">
              <w:t>ated over a period of time reflecting the scope of the role and the practical requirements of the workplace</w:t>
            </w:r>
          </w:p>
          <w:p w:rsidR="00000000" w:rsidRPr="00A9252E" w:rsidP="00A9252E">
            <w:pPr>
              <w:pStyle w:val="ListBullet"/>
            </w:pPr>
            <w:r w:rsidRPr="00A9252E">
              <w:t>where the assessment is part of a structured learning experience the evidence collected must relate to a number of performances assessed at differen</w:t>
            </w:r>
            <w:r w:rsidRPr="00A9252E">
              <w:t>t points in time and separated by further learning and practice, with a decision on competency only taken at the point when the assessor has complete confidence in the person's demonstrated ability and applied knowledge</w:t>
            </w:r>
          </w:p>
          <w:p w:rsidR="00000000" w:rsidRPr="00A9252E" w:rsidP="00A9252E">
            <w:pPr>
              <w:pStyle w:val="ListBullet"/>
            </w:pPr>
            <w:r w:rsidRPr="00A9252E">
              <w:t>all assessment that is part of a str</w:t>
            </w:r>
            <w:r w:rsidRPr="00A9252E">
              <w:t>uctured learning experience must include a combination of direct, indirect and supplementary evidence.</w:t>
            </w:r>
          </w:p>
          <w:p w:rsidR="00000000" w:rsidRPr="00A9252E" w:rsidP="00A9252E">
            <w:pPr>
              <w:pStyle w:val="BodyText"/>
            </w:pPr>
            <w:r w:rsidRPr="00A9252E">
              <w:t>Assessment processes and techniques should as far as is practical take into account the language, literacy and numeracy capacity of the candidate in rela</w:t>
            </w:r>
            <w:r w:rsidRPr="00A9252E">
              <w:t>tion to the competency being assessed.</w:t>
            </w:r>
          </w:p>
          <w:p w:rsidR="00000000" w:rsidRPr="00A9252E" w:rsidP="00A9252E">
            <w:pPr>
              <w:pStyle w:val="BodyText"/>
            </w:pPr>
            <w:r w:rsidRPr="00A9252E">
              <w:t xml:space="preserve">Supplementary evidence of competency may be obtained from relevant authenticated documentation from third parties, such as existing supervisors, team leaders or specialist training staff. </w:t>
            </w:r>
          </w:p>
          <w:p w:rsidR="00000000" w:rsidRPr="00A9252E" w:rsidP="00A9252E">
            <w:pPr>
              <w:pStyle w:val="BodyText"/>
            </w:pPr>
          </w:p>
        </w:tc>
      </w:tr>
    </w:tbl>
    <w:p w:rsidR="001809FC" w:rsidP="00A9252E">
      <w:pPr>
        <w:pStyle w:val="BodyText"/>
      </w:pPr>
    </w:p>
    <w:p w:rsidR="001809FC" w:rsidP="00A9252E">
      <w:pPr>
        <w:pStyle w:val="BodyText"/>
      </w:pPr>
    </w:p>
    <w:p w:rsidR="00000000" w:rsidRPr="00A9252E" w:rsidP="00A9252E">
      <w:pPr>
        <w:pStyle w:val="Heading1"/>
      </w:pPr>
      <w:bookmarkStart w:id="11" w:name="O_505870"/>
      <w:bookmarkEnd w:id="11"/>
      <w:r w:rsidRPr="00A9252E">
        <w:t>Range Statement</w:t>
      </w:r>
    </w:p>
    <w:tbl>
      <w:tblPr>
        <w:tblW w:w="9287" w:type="dxa"/>
        <w:tblLayout w:type="fixed"/>
        <w:tblCellMar>
          <w:left w:w="62" w:type="dxa"/>
          <w:right w:w="62" w:type="dxa"/>
        </w:tblCellMar>
        <w:tblLook w:val="0000"/>
      </w:tblPr>
      <w:tblGrid>
        <w:gridCol w:w="3726"/>
        <w:gridCol w:w="5561"/>
      </w:tblGrid>
      <w:tr w:rsidTr="00A9252E">
        <w:tblPrEx>
          <w:tblW w:w="9287" w:type="dxa"/>
          <w:tblLayout w:type="fixed"/>
          <w:tblCellMar>
            <w:left w:w="62" w:type="dxa"/>
            <w:right w:w="62" w:type="dxa"/>
          </w:tblCellMar>
          <w:tblLook w:val="0000"/>
        </w:tblPrEx>
        <w:tc>
          <w:tcPr>
            <w:tcW w:w="9287" w:type="dxa"/>
            <w:gridSpan w:val="2"/>
            <w:tcBorders>
              <w:top w:val="single" w:sz="4" w:space="0" w:color="C0C0C0"/>
              <w:left w:val="nil"/>
              <w:bottom w:val="nil"/>
              <w:right w:val="nil"/>
            </w:tcBorders>
            <w:tcMar>
              <w:top w:w="0" w:type="dxa"/>
              <w:left w:w="62" w:type="dxa"/>
              <w:bottom w:w="0" w:type="dxa"/>
              <w:right w:w="62" w:type="dxa"/>
            </w:tcMar>
          </w:tcPr>
          <w:p w:rsidR="00000000" w:rsidP="00A9252E">
            <w:pPr>
              <w:pStyle w:val="BodyText"/>
              <w:rPr>
                <w:lang w:val="en-NZ"/>
              </w:rPr>
            </w:pPr>
            <w:r w:rsidRPr="00A9252E">
              <w:t>The range statement relates to the unit of competency as a whole. It allows for different work environments and situations that may affect performance. Bold italicised wording, if used in the performance criteria, is detailed below. Essenti</w:t>
            </w:r>
            <w:r w:rsidRPr="00A9252E">
              <w:t>al operating conditions that may be present with training and assessment (depending on the work situation, needs of the candidate, accessibility of the item, and local industry and regional contexts) may also be included.</w:t>
            </w: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Work health and safety</w:t>
            </w:r>
            <w:r w:rsidRPr="00A9252E">
              <w:t xml:space="preserve"> is to be </w:t>
            </w:r>
            <w:r w:rsidRPr="00A9252E">
              <w:t>according to commonwealth, state and territory legislation and regulations and may include:</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handling of materials</w:t>
            </w:r>
          </w:p>
          <w:p w:rsidR="00000000" w:rsidRPr="00A9252E" w:rsidP="00A9252E">
            <w:pPr>
              <w:pStyle w:val="ListBullet"/>
            </w:pPr>
            <w:r w:rsidRPr="00A9252E">
              <w:t>hazard control</w:t>
            </w:r>
          </w:p>
          <w:p w:rsidR="00000000" w:rsidRPr="00A9252E" w:rsidP="00A9252E">
            <w:pPr>
              <w:pStyle w:val="ListBullet"/>
            </w:pPr>
            <w:r w:rsidRPr="00A9252E">
              <w:t>personal protective clothing and equipment prescribed under legislation, regulations and workplace policies and practices</w:t>
            </w:r>
          </w:p>
          <w:p w:rsidR="00000000" w:rsidRPr="00A9252E" w:rsidP="00A9252E">
            <w:pPr>
              <w:pStyle w:val="ListBullet"/>
            </w:pPr>
            <w:r w:rsidRPr="00A9252E">
              <w:t>safe operating procedures, including recognising and preventing hazards associated with:</w:t>
            </w:r>
          </w:p>
          <w:p w:rsidR="00000000" w:rsidRPr="00A9252E" w:rsidP="00A9252E">
            <w:pPr>
              <w:pStyle w:val="ListBullet2"/>
            </w:pPr>
            <w:r w:rsidRPr="00A9252E">
              <w:t>electricity</w:t>
            </w:r>
          </w:p>
          <w:p w:rsidR="00000000" w:rsidRPr="00A9252E" w:rsidP="00A9252E">
            <w:pPr>
              <w:pStyle w:val="ListBullet2"/>
            </w:pPr>
            <w:r w:rsidRPr="00A9252E">
              <w:t>hazardous materials and substances</w:t>
            </w:r>
          </w:p>
          <w:p w:rsidR="00000000" w:rsidRPr="00A9252E" w:rsidP="00A9252E">
            <w:pPr>
              <w:pStyle w:val="ListBullet2"/>
            </w:pPr>
            <w:r w:rsidRPr="00A9252E">
              <w:t>service lines</w:t>
            </w:r>
          </w:p>
          <w:p w:rsidR="00000000" w:rsidRPr="00A9252E" w:rsidP="00A9252E">
            <w:pPr>
              <w:pStyle w:val="ListBullet2"/>
            </w:pPr>
            <w:r w:rsidRPr="00A9252E">
              <w:t>surrounding structures and facilities</w:t>
            </w:r>
          </w:p>
          <w:p w:rsidR="00000000" w:rsidRPr="00A9252E" w:rsidP="00A9252E">
            <w:pPr>
              <w:pStyle w:val="ListBullet2"/>
            </w:pPr>
            <w:r w:rsidRPr="00A9252E">
              <w:t>trip hazards</w:t>
            </w:r>
          </w:p>
          <w:p w:rsidR="00000000" w:rsidRPr="00A9252E" w:rsidP="00A9252E">
            <w:pPr>
              <w:pStyle w:val="ListBullet2"/>
            </w:pPr>
            <w:r w:rsidRPr="00A9252E">
              <w:t>use of tools and equipment</w:t>
            </w:r>
          </w:p>
          <w:p w:rsidR="00000000" w:rsidRPr="00A9252E" w:rsidP="00A9252E">
            <w:pPr>
              <w:pStyle w:val="ListBullet2"/>
            </w:pPr>
            <w:r w:rsidRPr="00A9252E">
              <w:t xml:space="preserve">work site visitors and the </w:t>
            </w:r>
            <w:r w:rsidRPr="00A9252E">
              <w:t>public</w:t>
            </w:r>
          </w:p>
          <w:p w:rsidR="00000000" w:rsidRPr="00A9252E" w:rsidP="00A9252E">
            <w:pPr>
              <w:pStyle w:val="ListBullet2"/>
            </w:pPr>
            <w:r w:rsidRPr="00A9252E">
              <w:t>working at heights</w:t>
            </w:r>
          </w:p>
          <w:p w:rsidR="00000000" w:rsidRPr="00A9252E" w:rsidP="00A9252E">
            <w:pPr>
              <w:pStyle w:val="ListBullet2"/>
            </w:pPr>
            <w:r w:rsidRPr="00A9252E">
              <w:t>working in proximity to others</w:t>
            </w:r>
          </w:p>
          <w:p w:rsidR="00000000" w:rsidRPr="00A9252E" w:rsidP="00A9252E">
            <w:pPr>
              <w:pStyle w:val="ListBullet"/>
            </w:pPr>
            <w:r w:rsidRPr="00A9252E">
              <w:t>use of firefighting equipment</w:t>
            </w:r>
          </w:p>
          <w:p w:rsidR="00000000" w:rsidRPr="00A9252E" w:rsidP="00A9252E">
            <w:pPr>
              <w:pStyle w:val="ListBullet"/>
            </w:pPr>
            <w:r w:rsidRPr="00A9252E">
              <w:t>use of first aid equipment</w:t>
            </w:r>
          </w:p>
          <w:p w:rsidR="00000000" w:rsidRPr="00A9252E" w:rsidP="00A9252E">
            <w:pPr>
              <w:pStyle w:val="ListBullet"/>
            </w:pPr>
            <w:r w:rsidRPr="00A9252E">
              <w:t>workplace environment and safety.</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Environmental requirements</w:t>
            </w:r>
            <w:r w:rsidRPr="00A9252E">
              <w:t xml:space="preserve"> may include:</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clean-up protection</w:t>
            </w:r>
          </w:p>
          <w:p w:rsidR="00000000" w:rsidRPr="00A9252E" w:rsidP="00A9252E">
            <w:pPr>
              <w:pStyle w:val="ListBullet"/>
            </w:pPr>
            <w:r w:rsidRPr="00A9252E">
              <w:t>waste management.</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Quality assurance requirements</w:t>
            </w:r>
            <w:r w:rsidRPr="00A9252E">
              <w:t xml:space="preserve"> may include:</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Australian standards</w:t>
            </w:r>
          </w:p>
          <w:p w:rsidR="00000000" w:rsidRPr="00A9252E" w:rsidP="00A9252E">
            <w:pPr>
              <w:pStyle w:val="ListBullet"/>
            </w:pPr>
            <w:r w:rsidRPr="00A9252E">
              <w:t>environment policy</w:t>
            </w:r>
          </w:p>
          <w:p w:rsidR="00000000" w:rsidRPr="00A9252E" w:rsidP="00A9252E">
            <w:pPr>
              <w:pStyle w:val="ListBullet"/>
            </w:pPr>
            <w:r w:rsidRPr="00A9252E">
              <w:t>Environment Protection Authority (EPA)</w:t>
            </w:r>
          </w:p>
          <w:p w:rsidR="00000000" w:rsidRPr="00A9252E" w:rsidP="00A9252E">
            <w:pPr>
              <w:pStyle w:val="ListBullet"/>
            </w:pPr>
            <w:r w:rsidRPr="00A9252E">
              <w:t>internal company quality assurance policy and risk management strategy</w:t>
            </w:r>
          </w:p>
          <w:p w:rsidR="00000000" w:rsidRPr="00A9252E" w:rsidP="00A9252E">
            <w:pPr>
              <w:pStyle w:val="ListBullet"/>
            </w:pPr>
            <w:r w:rsidRPr="00A9252E">
              <w:t>International Standards Organisation</w:t>
            </w:r>
          </w:p>
          <w:p w:rsidR="00000000" w:rsidRPr="00A9252E" w:rsidP="00A9252E">
            <w:pPr>
              <w:pStyle w:val="ListBullet"/>
            </w:pPr>
            <w:r w:rsidRPr="00A9252E">
              <w:t>site safety plan</w:t>
            </w:r>
          </w:p>
          <w:p w:rsidR="00000000" w:rsidRPr="00A9252E" w:rsidP="00A9252E">
            <w:pPr>
              <w:pStyle w:val="ListBullet"/>
            </w:pPr>
            <w:r w:rsidRPr="00A9252E">
              <w:t>workplace operations and procedures.</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Statutory and regulatory authorities</w:t>
            </w:r>
            <w:r w:rsidRPr="00A9252E">
              <w:t xml:space="preserve"> include:</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commonwealth, state or territory, and local authorities administering applicable Acts, regulations and codes of practice.</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Tools and equipment</w:t>
            </w:r>
            <w:r w:rsidRPr="00A9252E">
              <w:t xml:space="preserve"> may include:</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chain blocks</w:t>
            </w:r>
          </w:p>
          <w:p w:rsidR="00000000" w:rsidRPr="00A9252E" w:rsidP="00A9252E">
            <w:pPr>
              <w:pStyle w:val="ListBullet"/>
            </w:pPr>
            <w:r w:rsidRPr="00A9252E">
              <w:t>forklifts</w:t>
            </w:r>
          </w:p>
          <w:p w:rsidR="00000000" w:rsidRPr="00A9252E" w:rsidP="00A9252E">
            <w:pPr>
              <w:pStyle w:val="ListBullet"/>
            </w:pPr>
            <w:r w:rsidRPr="00A9252E">
              <w:t>grinders and ladders</w:t>
            </w:r>
          </w:p>
          <w:p w:rsidR="00000000" w:rsidRPr="00A9252E" w:rsidP="00A9252E">
            <w:pPr>
              <w:pStyle w:val="ListBullet"/>
            </w:pPr>
            <w:r w:rsidRPr="00A9252E">
              <w:t>hacksaws</w:t>
            </w:r>
          </w:p>
          <w:p w:rsidR="00000000" w:rsidRPr="00A9252E" w:rsidP="00A9252E">
            <w:pPr>
              <w:pStyle w:val="ListBullet"/>
            </w:pPr>
            <w:r w:rsidRPr="00A9252E">
              <w:t>hand and power tools</w:t>
            </w:r>
          </w:p>
          <w:p w:rsidR="00000000" w:rsidRPr="00A9252E" w:rsidP="00A9252E">
            <w:pPr>
              <w:pStyle w:val="ListBullet"/>
            </w:pPr>
            <w:r w:rsidRPr="00A9252E">
              <w:t>hand trolleys</w:t>
            </w:r>
          </w:p>
          <w:p w:rsidR="00000000" w:rsidRPr="00A9252E" w:rsidP="00A9252E">
            <w:pPr>
              <w:pStyle w:val="ListBullet"/>
            </w:pPr>
            <w:r w:rsidRPr="00A9252E">
              <w:t>hoists</w:t>
            </w:r>
          </w:p>
          <w:p w:rsidR="00000000" w:rsidRPr="00A9252E" w:rsidP="00A9252E">
            <w:pPr>
              <w:pStyle w:val="ListBullet"/>
            </w:pPr>
            <w:r w:rsidRPr="00A9252E">
              <w:t>jacks</w:t>
            </w:r>
          </w:p>
          <w:p w:rsidR="00000000" w:rsidRPr="00A9252E" w:rsidP="00A9252E">
            <w:pPr>
              <w:pStyle w:val="ListBullet"/>
            </w:pPr>
            <w:r w:rsidRPr="00A9252E">
              <w:t>lifting and load shifting equipment</w:t>
            </w:r>
          </w:p>
          <w:p w:rsidR="00000000" w:rsidRPr="00A9252E" w:rsidP="00A9252E">
            <w:pPr>
              <w:pStyle w:val="ListBullet"/>
            </w:pPr>
            <w:r w:rsidRPr="00A9252E">
              <w:t>manual metal arc welding equipment</w:t>
            </w:r>
          </w:p>
          <w:p w:rsidR="00000000" w:rsidRPr="00A9252E" w:rsidP="00A9252E">
            <w:pPr>
              <w:pStyle w:val="ListBullet"/>
            </w:pPr>
            <w:r w:rsidRPr="00A9252E">
              <w:t>measuring equipment</w:t>
            </w:r>
          </w:p>
          <w:p w:rsidR="00000000" w:rsidRPr="00A9252E" w:rsidP="00A9252E">
            <w:pPr>
              <w:pStyle w:val="ListBullet"/>
            </w:pPr>
            <w:r w:rsidRPr="00A9252E">
              <w:t>metal inert gas (MIG) and tungsten inert gas (TIG) welding equipment</w:t>
            </w:r>
          </w:p>
          <w:p w:rsidR="00000000" w:rsidRPr="00A9252E" w:rsidP="00A9252E">
            <w:pPr>
              <w:pStyle w:val="ListBullet"/>
            </w:pPr>
            <w:r w:rsidRPr="00A9252E">
              <w:t>oxy welding cutting equipment</w:t>
            </w:r>
          </w:p>
          <w:p w:rsidR="00000000" w:rsidRPr="00A9252E" w:rsidP="00A9252E">
            <w:pPr>
              <w:pStyle w:val="ListBullet"/>
            </w:pPr>
            <w:r w:rsidRPr="00A9252E">
              <w:t>restricted height scaffolding and elevated work platform</w:t>
            </w:r>
          </w:p>
          <w:p w:rsidR="00000000" w:rsidRPr="00A9252E" w:rsidP="00A9252E">
            <w:pPr>
              <w:pStyle w:val="ListBullet"/>
            </w:pPr>
            <w:r w:rsidRPr="00A9252E">
              <w:t>rollers</w:t>
            </w:r>
          </w:p>
          <w:p w:rsidR="00000000" w:rsidRPr="00A9252E" w:rsidP="00A9252E">
            <w:pPr>
              <w:pStyle w:val="ListBullet"/>
            </w:pPr>
            <w:r w:rsidRPr="00A9252E">
              <w:t>tin snips.</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Type B appliances</w:t>
            </w:r>
            <w:r w:rsidRPr="00A9252E">
              <w:t>:</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are complex gas installations of greater than 10 megajoules (MJ) rating for which there is no approval scheme</w:t>
            </w:r>
          </w:p>
          <w:p w:rsidR="00000000" w:rsidRPr="00A9252E" w:rsidP="00A9252E">
            <w:pPr>
              <w:pStyle w:val="ListBullet"/>
            </w:pPr>
            <w:r w:rsidRPr="00A9252E">
              <w:t>flue materials and</w:t>
            </w:r>
            <w:r w:rsidRPr="00A9252E">
              <w:t xml:space="preserve"> installation of Type B appliance flues are to conform to relevant Australian standards.</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t xml:space="preserve">Type B flue </w:t>
            </w:r>
            <w:r w:rsidRPr="00A9252E">
              <w:rPr>
                <w:rStyle w:val="BoldandItalics"/>
              </w:rPr>
              <w:t>materials</w:t>
            </w:r>
            <w:r w:rsidRPr="00A9252E">
              <w:t>:</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may include:</w:t>
            </w:r>
          </w:p>
          <w:p w:rsidR="00000000" w:rsidRPr="00A9252E" w:rsidP="00A9252E">
            <w:pPr>
              <w:pStyle w:val="ListBullet2"/>
            </w:pPr>
            <w:r w:rsidRPr="00A9252E">
              <w:t>fibre cement</w:t>
            </w:r>
          </w:p>
          <w:p w:rsidR="00000000" w:rsidRPr="00A9252E" w:rsidP="00A9252E">
            <w:pPr>
              <w:pStyle w:val="ListBullet2"/>
            </w:pPr>
            <w:r w:rsidRPr="00A9252E">
              <w:t>mild steel</w:t>
            </w:r>
          </w:p>
          <w:p w:rsidR="00000000" w:rsidRPr="00A9252E" w:rsidP="00A9252E">
            <w:pPr>
              <w:pStyle w:val="ListBullet2"/>
            </w:pPr>
            <w:r w:rsidRPr="00A9252E">
              <w:t>stainless steel</w:t>
            </w:r>
          </w:p>
          <w:p w:rsidR="00000000" w:rsidRPr="00A9252E" w:rsidP="00A9252E">
            <w:pPr>
              <w:pStyle w:val="ListBullet2"/>
            </w:pPr>
            <w:r w:rsidRPr="00A9252E">
              <w:t>other approved materials</w:t>
            </w:r>
          </w:p>
          <w:p w:rsidR="00000000" w:rsidRPr="00A9252E" w:rsidP="00A9252E">
            <w:pPr>
              <w:pStyle w:val="ListBullet"/>
            </w:pPr>
            <w:r w:rsidRPr="00A9252E">
              <w:t>are to comply with the relevant Australian standards for Type B gas appliance flues.</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Sustainability principles and concepts</w:t>
            </w:r>
            <w:r w:rsidRPr="00A9252E">
              <w:t>:</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cover the current and future social, economic and environmental use of resources</w:t>
            </w:r>
          </w:p>
          <w:p w:rsidR="00000000" w:rsidRPr="00A9252E" w:rsidP="00A9252E">
            <w:pPr>
              <w:pStyle w:val="ListBullet"/>
            </w:pPr>
            <w:r w:rsidRPr="00A9252E">
              <w:t>may include:</w:t>
            </w:r>
          </w:p>
          <w:p w:rsidR="00000000" w:rsidRPr="00A9252E" w:rsidP="00A9252E">
            <w:pPr>
              <w:pStyle w:val="ListBullet2"/>
            </w:pPr>
            <w:r w:rsidRPr="00A9252E">
              <w:t>selecting appropriate components and material</w:t>
            </w:r>
          </w:p>
          <w:p w:rsidR="00000000" w:rsidRPr="00A9252E" w:rsidP="00A9252E">
            <w:pPr>
              <w:pStyle w:val="ListBullet2"/>
            </w:pPr>
            <w:r w:rsidRPr="00A9252E">
              <w:t>efficient energy use</w:t>
            </w:r>
          </w:p>
          <w:p w:rsidR="00000000" w:rsidRPr="00A9252E" w:rsidP="00A9252E">
            <w:pPr>
              <w:pStyle w:val="ListBullet2"/>
            </w:pPr>
            <w:r w:rsidRPr="00A9252E">
              <w:t>efficient use and recycling of material</w:t>
            </w:r>
          </w:p>
          <w:p w:rsidR="00000000" w:rsidRPr="00A9252E" w:rsidP="00A9252E">
            <w:pPr>
              <w:pStyle w:val="ListBullet2"/>
            </w:pPr>
            <w:r w:rsidRPr="00A9252E">
              <w:t>correct handling of hazardous materials</w:t>
            </w:r>
          </w:p>
          <w:p w:rsidR="00000000" w:rsidRPr="00A9252E" w:rsidP="00A9252E">
            <w:pPr>
              <w:pStyle w:val="ListBullet2"/>
            </w:pPr>
            <w:r w:rsidRPr="00A9252E">
              <w:t>disposing of waste material to ensure minimal environmental impact.</w:t>
            </w:r>
          </w:p>
          <w:p w:rsidR="00000000" w:rsidP="00A9252E">
            <w:pPr>
              <w:pStyle w:val="BodyText"/>
              <w:rPr>
                <w:lang w:val="en-NZ"/>
              </w:rPr>
            </w:pPr>
          </w:p>
        </w:tc>
      </w:tr>
      <w:tr w:rsidTr="00A9252E">
        <w:tblPrEx>
          <w:tblW w:w="9287" w:type="dxa"/>
          <w:tblLayout w:type="fixed"/>
          <w:tblCellMar>
            <w:left w:w="62" w:type="dxa"/>
            <w:right w:w="62" w:type="dxa"/>
          </w:tblCellMar>
          <w:tblLook w:val="0000"/>
        </w:tblPrEx>
        <w:tc>
          <w:tcPr>
            <w:tcW w:w="3726"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BoldandItalics"/>
              </w:rPr>
              <w:t>Information</w:t>
            </w:r>
            <w:r w:rsidRPr="00A9252E">
              <w:t xml:space="preserve"> may include:</w:t>
            </w:r>
          </w:p>
        </w:tc>
        <w:tc>
          <w:tcPr>
            <w:tcW w:w="5561" w:type="dxa"/>
            <w:tcBorders>
              <w:top w:val="nil"/>
              <w:left w:val="nil"/>
              <w:bottom w:val="nil"/>
              <w:right w:val="nil"/>
            </w:tcBorders>
            <w:tcMar>
              <w:top w:w="0" w:type="dxa"/>
              <w:left w:w="62" w:type="dxa"/>
              <w:bottom w:w="0" w:type="dxa"/>
              <w:right w:w="62" w:type="dxa"/>
            </w:tcMar>
          </w:tcPr>
          <w:p w:rsidR="00000000" w:rsidRPr="00A9252E" w:rsidP="00A9252E">
            <w:pPr>
              <w:pStyle w:val="ListBullet"/>
            </w:pPr>
            <w:r w:rsidRPr="00A9252E">
              <w:t>charts and hand drawings</w:t>
            </w:r>
          </w:p>
          <w:p w:rsidR="00000000" w:rsidRPr="00A9252E" w:rsidP="00A9252E">
            <w:pPr>
              <w:pStyle w:val="ListBullet"/>
            </w:pPr>
            <w:r w:rsidRPr="00A9252E">
              <w:t>instructions issued by authorised organisational or external personnel</w:t>
            </w:r>
          </w:p>
          <w:p w:rsidR="00000000" w:rsidRPr="00A9252E" w:rsidP="00A9252E">
            <w:pPr>
              <w:pStyle w:val="ListBullet"/>
            </w:pPr>
            <w:r w:rsidRPr="00A9252E">
              <w:t>job drawings</w:t>
            </w:r>
          </w:p>
          <w:p w:rsidR="00000000" w:rsidRPr="00A9252E" w:rsidP="00A9252E">
            <w:pPr>
              <w:pStyle w:val="ListBullet"/>
            </w:pPr>
            <w:r w:rsidRPr="00A9252E">
              <w:t>manufacturer specifications and instructions</w:t>
            </w:r>
          </w:p>
          <w:p w:rsidR="00000000" w:rsidRPr="00A9252E" w:rsidP="00A9252E">
            <w:pPr>
              <w:pStyle w:val="ListBullet"/>
            </w:pPr>
            <w:r w:rsidRPr="00A9252E">
              <w:t>material safety data sheets (MSDS)</w:t>
            </w:r>
          </w:p>
          <w:p w:rsidR="00000000" w:rsidRPr="00A9252E" w:rsidP="00A9252E">
            <w:pPr>
              <w:pStyle w:val="ListBullet"/>
            </w:pPr>
            <w:r w:rsidRPr="00A9252E">
              <w:t>memos</w:t>
            </w:r>
          </w:p>
          <w:p w:rsidR="00000000" w:rsidRPr="00A9252E" w:rsidP="00A9252E">
            <w:pPr>
              <w:pStyle w:val="ListBullet"/>
            </w:pPr>
            <w:r w:rsidRPr="00A9252E">
              <w:t>organisation work specifications and requirements</w:t>
            </w:r>
          </w:p>
          <w:p w:rsidR="00000000" w:rsidRPr="00A9252E" w:rsidP="00A9252E">
            <w:pPr>
              <w:pStyle w:val="ListBullet"/>
            </w:pPr>
            <w:r w:rsidRPr="00A9252E">
              <w:t>plans and s</w:t>
            </w:r>
            <w:r w:rsidRPr="00A9252E">
              <w:t>ketches</w:t>
            </w:r>
          </w:p>
          <w:p w:rsidR="00000000" w:rsidRPr="00A9252E" w:rsidP="00A9252E">
            <w:pPr>
              <w:pStyle w:val="ListBullet"/>
            </w:pPr>
            <w:r w:rsidRPr="00A9252E">
              <w:t>regulatory and legislative requirements, particularly those pertaining to:</w:t>
            </w:r>
          </w:p>
          <w:p w:rsidR="00000000" w:rsidRPr="00A9252E" w:rsidP="00A9252E">
            <w:pPr>
              <w:pStyle w:val="ListBullet2"/>
            </w:pPr>
            <w:r w:rsidRPr="00A9252E">
              <w:t>building codes</w:t>
            </w:r>
          </w:p>
          <w:p w:rsidR="00000000" w:rsidRPr="00A9252E" w:rsidP="00A9252E">
            <w:pPr>
              <w:pStyle w:val="ListBullet2"/>
            </w:pPr>
            <w:r w:rsidRPr="00A9252E">
              <w:t>WHS and environmental requirements</w:t>
            </w:r>
          </w:p>
          <w:p w:rsidR="00000000" w:rsidRPr="00A9252E" w:rsidP="00A9252E">
            <w:pPr>
              <w:pStyle w:val="ListBullet2"/>
            </w:pPr>
            <w:r w:rsidRPr="00A9252E">
              <w:t>plumbing and gasfitting authority regulations</w:t>
            </w:r>
          </w:p>
          <w:p w:rsidR="00000000" w:rsidRPr="00A9252E" w:rsidP="00A9252E">
            <w:pPr>
              <w:pStyle w:val="ListBullet"/>
            </w:pPr>
            <w:r w:rsidRPr="00A9252E">
              <w:t>recognised formulas or tables accepted by the regulatory authority</w:t>
            </w:r>
          </w:p>
          <w:p w:rsidR="00000000" w:rsidRPr="00A9252E" w:rsidP="00A9252E">
            <w:pPr>
              <w:pStyle w:val="ListBullet"/>
            </w:pPr>
            <w:r w:rsidRPr="00A9252E">
              <w:t>relevant Australian standards</w:t>
            </w:r>
          </w:p>
          <w:p w:rsidR="00000000" w:rsidRPr="00A9252E" w:rsidP="00A9252E">
            <w:pPr>
              <w:pStyle w:val="ListBullet"/>
            </w:pPr>
            <w:r w:rsidRPr="00A9252E">
              <w:t>safe work procedures relating to installing Type B appliance flues</w:t>
            </w:r>
          </w:p>
          <w:p w:rsidR="00000000" w:rsidRPr="00A9252E" w:rsidP="00A9252E">
            <w:pPr>
              <w:pStyle w:val="ListBullet"/>
            </w:pPr>
            <w:r w:rsidRPr="00A9252E">
              <w:t>signage</w:t>
            </w:r>
          </w:p>
          <w:p w:rsidR="00000000" w:rsidRPr="00A9252E" w:rsidP="00A9252E">
            <w:pPr>
              <w:pStyle w:val="ListBullet"/>
            </w:pPr>
            <w:r w:rsidRPr="00A9252E">
              <w:t>verbal, written and graphical instructions</w:t>
            </w:r>
          </w:p>
          <w:p w:rsidR="00000000" w:rsidRPr="00A9252E" w:rsidP="00A9252E">
            <w:pPr>
              <w:pStyle w:val="ListBullet"/>
            </w:pPr>
            <w:r w:rsidRPr="00A9252E">
              <w:t>work bulletins</w:t>
            </w:r>
          </w:p>
          <w:p w:rsidR="00000000" w:rsidRPr="00A9252E" w:rsidP="00A9252E">
            <w:pPr>
              <w:pStyle w:val="ListBullet"/>
            </w:pPr>
            <w:r w:rsidRPr="00A9252E">
              <w:t>work schedules, plans and specifications.</w:t>
            </w:r>
          </w:p>
        </w:tc>
      </w:tr>
    </w:tbl>
    <w:p w:rsidR="00000000" w:rsidRPr="00A9252E" w:rsidP="00A9252E">
      <w:pPr>
        <w:pStyle w:val="BodyText"/>
      </w:pPr>
    </w:p>
    <w:p w:rsidR="00000000" w:rsidRPr="00A9252E" w:rsidP="00A9252E">
      <w:pPr>
        <w:pStyle w:val="AllowPageBreak"/>
      </w:pPr>
    </w:p>
    <w:p w:rsidR="00000000" w:rsidRPr="00A9252E" w:rsidP="00A9252E">
      <w:pPr>
        <w:pStyle w:val="Heading1"/>
      </w:pPr>
      <w:bookmarkStart w:id="12" w:name="O_505871"/>
      <w:bookmarkEnd w:id="12"/>
      <w:r w:rsidRPr="00A9252E">
        <w:t>Unit Sector(s)</w:t>
      </w:r>
    </w:p>
    <w:tbl>
      <w:tblPr>
        <w:tblW w:w="0" w:type="auto"/>
        <w:tblLayout w:type="fixed"/>
        <w:tblCellMar>
          <w:left w:w="62" w:type="dxa"/>
          <w:right w:w="62" w:type="dxa"/>
        </w:tblCellMar>
        <w:tblLook w:val="0000"/>
      </w:tblPr>
      <w:tblGrid>
        <w:gridCol w:w="2203"/>
        <w:gridCol w:w="6868"/>
      </w:tblGrid>
      <w:tr w:rsidTr="00A9252E">
        <w:tblPrEx>
          <w:tblW w:w="0" w:type="auto"/>
          <w:tblLayout w:type="fixed"/>
          <w:tblCellMar>
            <w:left w:w="62" w:type="dxa"/>
            <w:right w:w="62" w:type="dxa"/>
          </w:tblCellMar>
          <w:tblLook w:val="0000"/>
        </w:tblPrEx>
        <w:tc>
          <w:tcPr>
            <w:tcW w:w="2203"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Functional area</w:t>
            </w:r>
          </w:p>
        </w:tc>
        <w:tc>
          <w:tcPr>
            <w:tcW w:w="6868"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p>
        </w:tc>
      </w:tr>
      <w:tr w:rsidTr="00A9252E">
        <w:tblPrEx>
          <w:tblW w:w="0" w:type="auto"/>
          <w:tblLayout w:type="fixed"/>
          <w:tblCellMar>
            <w:left w:w="62" w:type="dxa"/>
            <w:right w:w="62" w:type="dxa"/>
          </w:tblCellMar>
          <w:tblLook w:val="0000"/>
        </w:tblPrEx>
        <w:tc>
          <w:tcPr>
            <w:tcW w:w="2203" w:type="dxa"/>
            <w:tcBorders>
              <w:top w:val="nil"/>
              <w:left w:val="nil"/>
              <w:bottom w:val="nil"/>
              <w:right w:val="nil"/>
            </w:tcBorders>
            <w:tcMar>
              <w:top w:w="0" w:type="dxa"/>
              <w:left w:w="62" w:type="dxa"/>
              <w:bottom w:w="0" w:type="dxa"/>
              <w:right w:w="62" w:type="dxa"/>
            </w:tcMar>
          </w:tcPr>
          <w:p w:rsidR="00000000" w:rsidP="00A9252E">
            <w:pPr>
              <w:pStyle w:val="BodyText"/>
              <w:rPr>
                <w:lang w:val="en-NZ"/>
              </w:rPr>
            </w:pPr>
            <w:r w:rsidRPr="00A9252E">
              <w:rPr>
                <w:rStyle w:val="SpecialBold"/>
              </w:rPr>
              <w:t>Unit sector</w:t>
            </w:r>
          </w:p>
        </w:tc>
        <w:tc>
          <w:tcPr>
            <w:tcW w:w="6868" w:type="dxa"/>
            <w:tcBorders>
              <w:top w:val="nil"/>
              <w:left w:val="nil"/>
              <w:bottom w:val="nil"/>
              <w:right w:val="nil"/>
            </w:tcBorders>
            <w:tcMar>
              <w:top w:w="0" w:type="dxa"/>
              <w:left w:w="62" w:type="dxa"/>
              <w:bottom w:w="0" w:type="dxa"/>
              <w:right w:w="62" w:type="dxa"/>
            </w:tcMar>
          </w:tcPr>
          <w:p w:rsidR="00000000" w:rsidRPr="00A9252E" w:rsidP="00A9252E">
            <w:pPr>
              <w:pStyle w:val="BodyText"/>
            </w:pPr>
            <w:r w:rsidRPr="00A9252E">
              <w:t>Plumbing and services</w:t>
            </w:r>
          </w:p>
        </w:tc>
      </w:tr>
    </w:tbl>
    <w:p w:rsidR="00000000" w:rsidRPr="00A9252E" w:rsidP="00A9252E">
      <w:pPr>
        <w:pStyle w:val="BodyText"/>
      </w:pPr>
    </w:p>
    <w:p w:rsidR="00000000" w:rsidRPr="00A9252E" w:rsidP="00A9252E">
      <w:pPr>
        <w:pStyle w:val="AllowPageBreak"/>
      </w:pPr>
    </w:p>
    <w:p w:rsidR="00000000" w:rsidRPr="00A9252E" w:rsidP="00A9252E">
      <w:pPr>
        <w:pStyle w:val="Heading1"/>
      </w:pPr>
      <w:bookmarkStart w:id="13" w:name="O_505872"/>
      <w:bookmarkEnd w:id="13"/>
      <w:r w:rsidRPr="00A9252E">
        <w:t>Custom Content Section</w:t>
      </w:r>
    </w:p>
    <w:p w:rsidR="00000000" w:rsidRPr="00A9252E" w:rsidP="00A9252E">
      <w:pPr>
        <w:pStyle w:val="BodyText"/>
      </w:pPr>
      <w:r w:rsidRPr="00A9252E">
        <w:t>Not applicable.</w:t>
      </w:r>
    </w:p>
    <w:p w:rsidR="00000000" w:rsidRPr="00A9252E" w:rsidP="00A9252E"/>
    <w:sectPr w:rsidSect="00A9252E">
      <w:headerReference w:type="default" r:id="rId10"/>
      <w:footerReference w:type="default" r:id="rId11"/>
      <w:pgSz w:w="11908" w:h="16833"/>
      <w:pgMar w:top="1700" w:right="1418" w:bottom="1700" w:left="1418" w:header="992" w:footer="992"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2E">
    <w:pPr>
      <w:pStyle w:val="Footer"/>
      <w:framePr w:wrap="aroun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2E" w:rsidRPr="001809FC" w:rsidP="001809FC">
    <w:pPr>
      <w:pStyle w:val="BodyText"/>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2E">
    <w:pPr>
      <w:pStyle w:val="Footer"/>
      <w:framePr w:wrap="aroun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9FC" w:rsidP="00A9252E">
    <w:pPr>
      <w:pStyle w:val="Footer"/>
      <w:framePr w:wrap="around"/>
    </w:pPr>
    <w:r>
      <w:fldChar w:fldCharType="begin"/>
    </w:r>
    <w:r>
      <w:instrText xml:space="preserve"> DOCPROPERTY  Subject  \* MERGEFORMAT </w:instrText>
    </w:r>
    <w:r>
      <w:fldChar w:fldCharType="separate"/>
    </w:r>
    <w:r>
      <w:t>Approved</w:t>
    </w:r>
    <w:r>
      <w:fldChar w:fldCharType="end"/>
    </w:r>
    <w:r>
      <w:tab/>
      <w:t xml:space="preserve">Page </w:t>
    </w:r>
    <w:r>
      <w:fldChar w:fldCharType="begin"/>
    </w:r>
    <w:r>
      <w:instrText xml:space="preserve"> PAGE  \* Arabic  \* MERGEFORMAT </w:instrText>
    </w:r>
    <w:r>
      <w:fldChar w:fldCharType="separate"/>
    </w:r>
    <w:r>
      <w:rPr>
        <w:noProof/>
      </w:rPr>
      <w:t>6</w:t>
    </w:r>
    <w:r>
      <w:fldChar w:fldCharType="end"/>
    </w:r>
    <w:r>
      <w:t xml:space="preserve"> of </w:t>
    </w:r>
    <w:r>
      <w:fldChar w:fldCharType="begin"/>
    </w:r>
    <w:r>
      <w:instrText xml:space="preserve"> NUMPAGES  \* Arabic  \* MERGEFORMAT </w:instrText>
    </w:r>
    <w:r>
      <w:fldChar w:fldCharType="separate"/>
    </w:r>
    <w:r>
      <w:rPr>
        <w:noProof/>
      </w:rPr>
      <w:t>8</w:t>
    </w:r>
    <w:r>
      <w:rPr>
        <w:noProof/>
      </w:rPr>
      <w:fldChar w:fldCharType="end"/>
    </w:r>
  </w:p>
  <w:p w:rsidR="001809FC" w:rsidP="00A9252E">
    <w:pPr>
      <w:pStyle w:val="Footer"/>
      <w:framePr w:wrap="around"/>
    </w:pPr>
    <w:r>
      <w:t xml:space="preserve">© Commonwealth of Australia, </w:t>
    </w:r>
    <w:r>
      <w:fldChar w:fldCharType="begin"/>
    </w:r>
    <w:r>
      <w:instrText xml:space="preserve"> DATE  \@ "yyyy"  \* MERGEFORMAT </w:instrText>
    </w:r>
    <w:r>
      <w:fldChar w:fldCharType="separate"/>
    </w:r>
    <w:r>
      <w:rPr>
        <w:noProof/>
      </w:rPr>
      <w:t>2013</w:t>
    </w:r>
    <w:r>
      <w:fldChar w:fldCharType="end"/>
    </w:r>
    <w:r>
      <w:tab/>
    </w:r>
    <w:r>
      <w:fldChar w:fldCharType="begin"/>
    </w:r>
    <w:r>
      <w:instrText xml:space="preserve"> DOCPROPERTY  Author  \* MERGEFORMAT </w:instrText>
    </w:r>
    <w:r>
      <w:fldChar w:fldCharType="separate"/>
    </w:r>
    <w:r>
      <w:t>Construction &amp; Property Services Industry Skills Council</w:t>
    </w:r>
    <w:r>
      <w:fldChar w:fldCharType="end"/>
    </w:r>
  </w:p>
  <w:p w:rsidR="001809FC" w:rsidP="00A9252E">
    <w:pPr>
      <w:pStyle w:val="Footer"/>
      <w:framePr w:wrap="around"/>
      <w:pBdr>
        <w:top w:val="nil"/>
      </w:pBd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2E">
    <w:pPr>
      <w:pStyle w:val="Header"/>
      <w:framePr w:wrap="aroun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2E" w:rsidRPr="001809FC" w:rsidP="001809FC">
    <w:pPr>
      <w:pStyle w:val="BodyText"/>
    </w:pPr>
    <w:r>
      <w:rPr>
        <w:noProof/>
        <w:lang w:eastAsia="en-AU"/>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733665" cy="10926445"/>
          <wp:effectExtent l="0" t="0" r="0" b="0"/>
          <wp:wrapNone/>
          <wp:docPr id="2"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page.png"/>
                  <pic:cNvPicPr/>
                </pic:nvPicPr>
                <pic:blipFill>
                  <a:blip xmlns:r="http://schemas.openxmlformats.org/officeDocument/2006/relationships" r:embed="rId1">
                    <a:extLst>
                      <a:ext uri="{28A0092B-C50C-407E-A947-70E740481C1C}">
                        <a14:useLocalDpi xmlns:a14="http://schemas.microsoft.com/office/drawing/2010/main" val="0"/>
                      </a:ext>
                    </a:extLst>
                  </a:blip>
                  <a:stretch>
                    <a:fillRect/>
                  </a:stretch>
                </pic:blipFill>
                <pic:spPr>
                  <a:xfrm>
                    <a:off x="0" y="0"/>
                    <a:ext cx="7734031" cy="10926468"/>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2E">
    <w:pPr>
      <w:pStyle w:val="Header"/>
      <w:framePr w:wrap="aroun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9FC" w:rsidRPr="002D2AF8" w:rsidP="00A9252E">
    <w:pPr>
      <w:pStyle w:val="Header"/>
      <w:framePr w:wrap="around"/>
    </w:pPr>
    <w:r>
      <w:fldChar w:fldCharType="begin"/>
    </w:r>
    <w:r>
      <w:instrText xml:space="preserve"> TITLE   \* MERGEFORMAT </w:instrText>
    </w:r>
    <w:r>
      <w:fldChar w:fldCharType="separate"/>
    </w:r>
    <w:r>
      <w:t>CPCPGS3050A Install Type B gas appliance flues</w:t>
    </w:r>
    <w:r>
      <w:fldChar w:fldCharType="end"/>
    </w:r>
    <w:r>
      <w:tab/>
      <w:t xml:space="preserve">Date this document was generated: </w:t>
    </w:r>
    <w:r>
      <w:fldChar w:fldCharType="begin"/>
    </w:r>
    <w:r>
      <w:instrText xml:space="preserve"> CREATEDATE  \@ "d MMMM yyyy"  \* MERGEFORMAT </w:instrText>
    </w:r>
    <w:r>
      <w:fldChar w:fldCharType="separate"/>
    </w:r>
    <w:r>
      <w:rPr>
        <w:noProof/>
      </w:rPr>
      <w:t>7/02/2013</w:t>
    </w:r>
    <w:r>
      <w:fldChar w:fldCharType="end"/>
    </w:r>
  </w:p>
  <w:p w:rsidR="001809FC" w:rsidP="00A9252E">
    <w:pPr>
      <w:pStyle w:val="Header"/>
      <w:framePr w:wrap="around"/>
      <w:pBdr>
        <w:bottom w:val="nil"/>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5">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nsid w:val="FFFFFF83"/>
    <w:multiLevelType w:val="singleLevel"/>
    <w:tmpl w:val="B35AFA0C"/>
    <w:lvl w:ilvl="0">
      <w:start w:val="1"/>
      <w:numFmt w:val="bullet"/>
      <w:pStyle w:val="ListBullet2"/>
      <w:lvlText w:val=""/>
      <w:lvlJc w:val="left"/>
      <w:pPr>
        <w:tabs>
          <w:tab w:val="num" w:pos="643"/>
        </w:tabs>
        <w:ind w:left="643" w:hanging="360"/>
      </w:pPr>
      <w:rPr>
        <w:rFonts w:ascii="Symbol" w:hAnsi="Symbol" w:hint="default"/>
      </w:rPr>
    </w:lvl>
  </w:abstractNum>
  <w:abstractNum w:abstractNumId="7">
    <w:nsid w:val="FFFFFF89"/>
    <w:multiLevelType w:val="singleLevel"/>
    <w:tmpl w:val="96CED76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3D2C2130"/>
    <w:lvl w:ilvl="0">
      <w:start w:val="0"/>
      <w:numFmt w:val="bullet"/>
      <w:lvlText w:val="*"/>
      <w:lvlJc w:val="left"/>
    </w:lvl>
  </w:abstractNum>
  <w:abstractNum w:abstractNumId="9">
    <w:nsid w:val="0F986AE9"/>
    <w:multiLevelType w:val="hybridMultilevel"/>
    <w:tmpl w:val="3224FB34"/>
    <w:lvl w:ilvl="0">
      <w:start w:val="1"/>
      <w:numFmt w:val="bullet"/>
      <w:pStyle w:val="TableListBullet"/>
      <w:lvlText w:val=""/>
      <w:lvlJc w:val="left"/>
      <w:pPr>
        <w:tabs>
          <w:tab w:val="num" w:pos="360"/>
        </w:tabs>
        <w:ind w:left="360" w:hanging="360"/>
      </w:pPr>
      <w:rPr>
        <w:rFonts w:ascii="Webdings" w:hAnsi="Webdings" w:hint="default"/>
        <w:color w:val="808080"/>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nsid w:val="2E40016D"/>
    <w:multiLevelType w:val="hybridMultilevel"/>
    <w:tmpl w:val="4252A022"/>
    <w:lvl w:ilvl="0">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
    <w:nsid w:val="61571FB4"/>
    <w:multiLevelType w:val="singleLevel"/>
    <w:tmpl w:val="F73ECEE0"/>
    <w:lvl w:ilvl="0">
      <w:start w:val="1"/>
      <w:numFmt w:val="decimal"/>
      <w:pStyle w:val="ListNumber"/>
      <w:lvlText w:val="%1)"/>
      <w:lvlJc w:val="left"/>
      <w:pPr>
        <w:tabs>
          <w:tab w:val="num" w:pos="360"/>
        </w:tabs>
        <w:ind w:left="340" w:hanging="340"/>
      </w:pPr>
      <w:rPr>
        <w:rFonts w:ascii="Palatino Linotype" w:hAnsi="Palatino Linotype" w:hint="default"/>
        <w:b w:val="0"/>
        <w:i w:val="0"/>
        <w:color w:val="auto"/>
      </w:rPr>
    </w:lvl>
  </w:abstractNum>
  <w:abstractNum w:abstractNumId="14">
    <w:nsid w:val="7B332CA8"/>
    <w:multiLevelType w:val="hybridMultilevel"/>
    <w:tmpl w:val="F2C40DCA"/>
    <w:lvl w:ilvl="0">
      <w:start w:val="1"/>
      <w:numFmt w:val="lowerLetter"/>
      <w:pStyle w:val="ListAlpha2"/>
      <w:lvlText w:val="%1."/>
      <w:lvlJc w:val="left"/>
      <w:pPr>
        <w:tabs>
          <w:tab w:val="num" w:pos="1060"/>
        </w:tabs>
        <w:ind w:left="681" w:hanging="341"/>
      </w:pPr>
      <w:rPr>
        <w:rFonts w:hint="default"/>
      </w:rPr>
    </w:lvl>
    <w:lvl w:ilvl="1" w:tentative="1">
      <w:start w:val="1"/>
      <w:numFmt w:val="lowerLetter"/>
      <w:lvlText w:val="%2."/>
      <w:lvlJc w:val="left"/>
      <w:pPr>
        <w:tabs>
          <w:tab w:val="num" w:pos="1780"/>
        </w:tabs>
        <w:ind w:left="1780" w:hanging="360"/>
      </w:pPr>
    </w:lvl>
    <w:lvl w:ilvl="2" w:tentative="1">
      <w:start w:val="1"/>
      <w:numFmt w:val="lowerRoman"/>
      <w:lvlText w:val="%3."/>
      <w:lvlJc w:val="right"/>
      <w:pPr>
        <w:tabs>
          <w:tab w:val="num" w:pos="2500"/>
        </w:tabs>
        <w:ind w:left="2500" w:hanging="180"/>
      </w:pPr>
    </w:lvl>
    <w:lvl w:ilvl="3" w:tentative="1">
      <w:start w:val="1"/>
      <w:numFmt w:val="decimal"/>
      <w:lvlText w:val="%4."/>
      <w:lvlJc w:val="left"/>
      <w:pPr>
        <w:tabs>
          <w:tab w:val="num" w:pos="3220"/>
        </w:tabs>
        <w:ind w:left="3220" w:hanging="360"/>
      </w:pPr>
    </w:lvl>
    <w:lvl w:ilvl="4" w:tentative="1">
      <w:start w:val="1"/>
      <w:numFmt w:val="lowerLetter"/>
      <w:lvlText w:val="%5."/>
      <w:lvlJc w:val="left"/>
      <w:pPr>
        <w:tabs>
          <w:tab w:val="num" w:pos="3940"/>
        </w:tabs>
        <w:ind w:left="3940" w:hanging="360"/>
      </w:pPr>
    </w:lvl>
    <w:lvl w:ilvl="5" w:tentative="1">
      <w:start w:val="1"/>
      <w:numFmt w:val="lowerRoman"/>
      <w:lvlText w:val="%6."/>
      <w:lvlJc w:val="right"/>
      <w:pPr>
        <w:tabs>
          <w:tab w:val="num" w:pos="4660"/>
        </w:tabs>
        <w:ind w:left="4660" w:hanging="180"/>
      </w:pPr>
    </w:lvl>
    <w:lvl w:ilvl="6" w:tentative="1">
      <w:start w:val="1"/>
      <w:numFmt w:val="decimal"/>
      <w:lvlText w:val="%7."/>
      <w:lvlJc w:val="left"/>
      <w:pPr>
        <w:tabs>
          <w:tab w:val="num" w:pos="5380"/>
        </w:tabs>
        <w:ind w:left="5380" w:hanging="360"/>
      </w:pPr>
    </w:lvl>
    <w:lvl w:ilvl="7" w:tentative="1">
      <w:start w:val="1"/>
      <w:numFmt w:val="lowerLetter"/>
      <w:lvlText w:val="%8."/>
      <w:lvlJc w:val="left"/>
      <w:pPr>
        <w:tabs>
          <w:tab w:val="num" w:pos="6100"/>
        </w:tabs>
        <w:ind w:left="6100" w:hanging="360"/>
      </w:pPr>
    </w:lvl>
    <w:lvl w:ilvl="8" w:tentative="1">
      <w:start w:val="1"/>
      <w:numFmt w:val="lowerRoman"/>
      <w:lvlText w:val="%9."/>
      <w:lvlJc w:val="right"/>
      <w:pPr>
        <w:tabs>
          <w:tab w:val="num" w:pos="6820"/>
        </w:tabs>
        <w:ind w:left="6820" w:hanging="180"/>
      </w:pPr>
    </w:lvl>
  </w:abstractNum>
  <w:abstractNum w:abstractNumId="15">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4"/>
  </w:num>
  <w:num w:numId="10">
    <w:abstractNumId w:val="11"/>
  </w:num>
  <w:num w:numId="11">
    <w:abstractNumId w:val="15"/>
  </w:num>
  <w:num w:numId="12">
    <w:abstractNumId w:val="13"/>
  </w:num>
  <w:num w:numId="13">
    <w:abstractNumId w:val="9"/>
  </w:num>
  <w:num w:numId="14">
    <w:abstractNumId w:val="12"/>
  </w:num>
  <w:num w:numId="15">
    <w:abstractNumId w:val="10"/>
  </w:num>
  <w:num w:numId="16">
    <w:abstractNumId w:val="5"/>
  </w:num>
  <w:num w:numId="17">
    <w:abstractNumId w:val="8"/>
    <w:lvlOverride w:ilvl="0">
      <w:lvl w:ilvl="0">
        <w:start w:val="0"/>
        <w:numFmt w:val="bullet"/>
        <w:lvlText w:val=""/>
        <w:legacy w:legacy="1" w:legacySpace="0" w:legacyIndent="0"/>
        <w:lvlJc w:val="left"/>
        <w:pPr>
          <w:ind w:left="0" w:firstLine="0"/>
        </w:pPr>
        <w:rPr>
          <w:rFonts w:ascii="Wingdings" w:hAnsi="Wingding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themeFontLang w:val="en-A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table of figures" w:uiPriority="0"/>
    <w:lsdException w:name="page number" w:uiPriority="0"/>
    <w:lsdException w:name="List" w:uiPriority="0"/>
    <w:lsdException w:name="List Bullet" w:uiPriority="0" w:unhideWhenUsed="0"/>
    <w:lsdException w:name="List Number" w:uiPriority="0"/>
    <w:lsdException w:name="List 2" w:uiPriority="0"/>
    <w:lsdException w:name="List 3" w:uiPriority="0"/>
    <w:lsdException w:name="List 4" w:uiPriority="0"/>
    <w:lsdException w:name="List 5" w:uiPriority="0"/>
    <w:lsdException w:name="List Bullet 2" w:uiPriority="0" w:unhideWhenUsed="0"/>
    <w:lsdException w:name="List Bullet 3" w:uiPriority="0" w:unhideWhenUsed="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unhideWhenUsed="0"/>
    <w:lsdException w:name="Body Text" w:uiPriority="0" w:unhideWhenUsed="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52E"/>
    <w:pPr>
      <w:keepNext/>
      <w:keepLines/>
      <w:spacing w:after="0" w:line="240" w:lineRule="auto"/>
    </w:pPr>
    <w:rPr>
      <w:rFonts w:ascii="Courier New" w:eastAsia="Times New Roman" w:hAnsi="Courier New" w:cs="Times New Roman"/>
      <w:szCs w:val="20"/>
      <w:lang w:eastAsia="en-US"/>
    </w:rPr>
  </w:style>
  <w:style w:type="paragraph" w:styleId="Heading1">
    <w:name w:val="heading 1"/>
    <w:basedOn w:val="HeadingBase"/>
    <w:next w:val="Heading2"/>
    <w:link w:val="Heading1Char"/>
    <w:qFormat/>
    <w:rsid w:val="00A9252E"/>
    <w:pPr>
      <w:spacing w:before="360" w:after="60"/>
      <w:outlineLvl w:val="0"/>
    </w:pPr>
    <w:rPr>
      <w:sz w:val="32"/>
    </w:rPr>
  </w:style>
  <w:style w:type="paragraph" w:styleId="Heading2">
    <w:name w:val="heading 2"/>
    <w:basedOn w:val="HeadingBase"/>
    <w:next w:val="BodyText"/>
    <w:link w:val="Heading2Char"/>
    <w:qFormat/>
    <w:rsid w:val="00A9252E"/>
    <w:pPr>
      <w:keepLines/>
      <w:spacing w:before="240" w:after="120"/>
      <w:outlineLvl w:val="1"/>
    </w:pPr>
    <w:rPr>
      <w:sz w:val="28"/>
      <w:szCs w:val="40"/>
    </w:rPr>
  </w:style>
  <w:style w:type="paragraph" w:styleId="Heading3">
    <w:name w:val="heading 3"/>
    <w:basedOn w:val="HeadingBase"/>
    <w:next w:val="BodyText"/>
    <w:link w:val="Heading3Char"/>
    <w:qFormat/>
    <w:rsid w:val="00A9252E"/>
    <w:pPr>
      <w:spacing w:before="180" w:after="120"/>
      <w:outlineLvl w:val="2"/>
    </w:pPr>
    <w:rPr>
      <w:spacing w:val="-10"/>
      <w:kern w:val="32"/>
    </w:rPr>
  </w:style>
  <w:style w:type="paragraph" w:styleId="Heading4">
    <w:name w:val="heading 4"/>
    <w:basedOn w:val="HeadingBase"/>
    <w:next w:val="BodyText"/>
    <w:link w:val="Heading4Char"/>
    <w:qFormat/>
    <w:rsid w:val="00A9252E"/>
    <w:pPr>
      <w:spacing w:before="160" w:after="120"/>
      <w:outlineLvl w:val="3"/>
    </w:pPr>
    <w:rPr>
      <w:sz w:val="22"/>
    </w:rPr>
  </w:style>
  <w:style w:type="paragraph" w:styleId="Heading5">
    <w:name w:val="heading 5"/>
    <w:basedOn w:val="HeadingBase"/>
    <w:next w:val="Normal"/>
    <w:link w:val="Heading5Char"/>
    <w:qFormat/>
    <w:rsid w:val="00A9252E"/>
    <w:pPr>
      <w:spacing w:before="80"/>
      <w:outlineLvl w:val="4"/>
    </w:pPr>
    <w:rPr>
      <w:color w:val="918585"/>
      <w:sz w:val="20"/>
    </w:rPr>
  </w:style>
  <w:style w:type="paragraph" w:styleId="Heading6">
    <w:name w:val="heading 6"/>
    <w:basedOn w:val="HeadingBase"/>
    <w:next w:val="Normal"/>
    <w:link w:val="Heading6Char"/>
    <w:qFormat/>
    <w:rsid w:val="00A9252E"/>
    <w:pPr>
      <w:spacing w:before="60"/>
      <w:outlineLvl w:val="5"/>
    </w:pPr>
    <w:rPr>
      <w:color w:val="918585"/>
      <w:sz w:val="20"/>
    </w:rPr>
  </w:style>
  <w:style w:type="paragraph" w:styleId="Heading7">
    <w:name w:val="heading 7"/>
    <w:basedOn w:val="Normal"/>
    <w:next w:val="Normal"/>
    <w:link w:val="Heading7Char"/>
    <w:qFormat/>
    <w:rsid w:val="00A9252E"/>
    <w:pPr>
      <w:ind w:left="720"/>
      <w:outlineLvl w:val="6"/>
    </w:pPr>
    <w:rPr>
      <w:i/>
    </w:rPr>
  </w:style>
  <w:style w:type="paragraph" w:styleId="Heading8">
    <w:name w:val="heading 8"/>
    <w:basedOn w:val="Normal"/>
    <w:next w:val="Normal"/>
    <w:link w:val="Heading8Char"/>
    <w:qFormat/>
    <w:rsid w:val="00A9252E"/>
    <w:pPr>
      <w:ind w:left="720"/>
      <w:outlineLvl w:val="7"/>
    </w:pPr>
    <w:rPr>
      <w:i/>
    </w:rPr>
  </w:style>
  <w:style w:type="paragraph" w:styleId="Heading9">
    <w:name w:val="heading 9"/>
    <w:basedOn w:val="Normal"/>
    <w:next w:val="Normal"/>
    <w:link w:val="Heading9Char"/>
    <w:qFormat/>
    <w:rsid w:val="00A9252E"/>
    <w:pPr>
      <w:ind w:left="720"/>
      <w:outlineLvl w:val="8"/>
    </w:pPr>
    <w:rPr>
      <w:i/>
    </w:rPr>
  </w:style>
  <w:style w:type="character" w:default="1" w:styleId="DefaultParagraphFont">
    <w:name w:val="Default Paragraph Font"/>
    <w:uiPriority w:val="1"/>
    <w:unhideWhenUsed/>
    <w:rsid w:val="00A925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52E"/>
  </w:style>
  <w:style w:type="character" w:customStyle="1" w:styleId="Heading1Char">
    <w:name w:val="Heading 1 Char"/>
    <w:basedOn w:val="DefaultParagraphFont"/>
    <w:link w:val="Heading1"/>
    <w:rsid w:val="00A9252E"/>
    <w:rPr>
      <w:rFonts w:ascii="Times New Roman" w:eastAsia="Times New Roman" w:hAnsi="Times New Roman" w:cs="Times New Roman"/>
      <w:b/>
      <w:sz w:val="32"/>
      <w:szCs w:val="20"/>
      <w:lang w:eastAsia="en-US"/>
    </w:rPr>
  </w:style>
  <w:style w:type="paragraph" w:styleId="BodyText">
    <w:name w:val="Body Text"/>
    <w:basedOn w:val="Normal"/>
    <w:link w:val="BodyTextChar"/>
    <w:rsid w:val="00A9252E"/>
    <w:pPr>
      <w:spacing w:before="120" w:after="120"/>
      <w:contextualSpacing/>
    </w:pPr>
    <w:rPr>
      <w:rFonts w:ascii="Times New Roman" w:hAnsi="Times New Roman"/>
      <w:sz w:val="24"/>
      <w:szCs w:val="22"/>
    </w:rPr>
  </w:style>
  <w:style w:type="character" w:customStyle="1" w:styleId="BodyTextChar">
    <w:name w:val="Body Text Char"/>
    <w:basedOn w:val="DefaultParagraphFont"/>
    <w:link w:val="BodyText"/>
    <w:rsid w:val="00A9252E"/>
    <w:rPr>
      <w:rFonts w:ascii="Times New Roman" w:eastAsia="Times New Roman" w:hAnsi="Times New Roman" w:cs="Times New Roman"/>
      <w:sz w:val="24"/>
      <w:lang w:eastAsia="en-US"/>
    </w:rPr>
  </w:style>
  <w:style w:type="paragraph" w:styleId="ListBullet">
    <w:name w:val="List Bullet"/>
    <w:basedOn w:val="List"/>
    <w:rsid w:val="00A9252E"/>
    <w:pPr>
      <w:numPr>
        <w:numId w:val="14"/>
      </w:numPr>
      <w:tabs>
        <w:tab w:val="clear" w:pos="340"/>
      </w:tabs>
      <w:spacing w:before="40" w:after="40"/>
    </w:pPr>
  </w:style>
  <w:style w:type="character" w:customStyle="1" w:styleId="SpecialBold">
    <w:name w:val="Special Bold"/>
    <w:basedOn w:val="DefaultParagraphFont"/>
    <w:rsid w:val="00A9252E"/>
    <w:rPr>
      <w:b/>
      <w:spacing w:val="0"/>
    </w:rPr>
  </w:style>
  <w:style w:type="paragraph" w:styleId="ListBullet2">
    <w:name w:val="List Bullet 2"/>
    <w:basedOn w:val="List2"/>
    <w:rsid w:val="00A9252E"/>
    <w:pPr>
      <w:numPr>
        <w:numId w:val="15"/>
      </w:numPr>
      <w:tabs>
        <w:tab w:val="clear" w:pos="680"/>
      </w:tabs>
    </w:pPr>
  </w:style>
  <w:style w:type="paragraph" w:customStyle="1" w:styleId="SuperHeading">
    <w:name w:val="SuperHeading"/>
    <w:basedOn w:val="Normal"/>
    <w:rsid w:val="00A9252E"/>
    <w:pPr>
      <w:spacing w:before="240" w:after="120"/>
      <w:outlineLvl w:val="0"/>
    </w:pPr>
    <w:rPr>
      <w:rFonts w:ascii="Times New Roman" w:hAnsi="Times New Roman"/>
      <w:b/>
      <w:sz w:val="32"/>
    </w:rPr>
  </w:style>
  <w:style w:type="paragraph" w:customStyle="1" w:styleId="AllowPageBreak">
    <w:name w:val="AllowPageBreak"/>
    <w:rsid w:val="00A9252E"/>
    <w:pPr>
      <w:widowControl w:val="0"/>
      <w:spacing w:after="0" w:line="240" w:lineRule="auto"/>
    </w:pPr>
    <w:rPr>
      <w:rFonts w:ascii="Times New Roman" w:eastAsia="Times New Roman" w:hAnsi="Times New Roman" w:cs="Times New Roman"/>
      <w:noProof/>
      <w:sz w:val="2"/>
      <w:szCs w:val="20"/>
      <w:lang w:eastAsia="en-US"/>
    </w:rPr>
  </w:style>
  <w:style w:type="paragraph" w:styleId="ListBullet3">
    <w:name w:val="List Bullet 3"/>
    <w:basedOn w:val="List3"/>
    <w:rsid w:val="00A9252E"/>
    <w:pPr>
      <w:numPr>
        <w:numId w:val="3"/>
      </w:numPr>
      <w:tabs>
        <w:tab w:val="clear" w:pos="1021"/>
      </w:tabs>
      <w:ind w:left="1037" w:hanging="357"/>
    </w:pPr>
  </w:style>
  <w:style w:type="character" w:customStyle="1" w:styleId="BoldandItalics">
    <w:name w:val="Bold and Italics"/>
    <w:qFormat/>
    <w:rsid w:val="00A9252E"/>
    <w:rPr>
      <w:b/>
      <w:i/>
      <w:u w:val="none"/>
    </w:rPr>
  </w:style>
  <w:style w:type="character" w:customStyle="1" w:styleId="Heading2Char">
    <w:name w:val="Heading 2 Char"/>
    <w:basedOn w:val="DefaultParagraphFont"/>
    <w:link w:val="Heading2"/>
    <w:rsid w:val="00A9252E"/>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A9252E"/>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A9252E"/>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A9252E"/>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A9252E"/>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A9252E"/>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A9252E"/>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A9252E"/>
    <w:rPr>
      <w:rFonts w:ascii="Courier New" w:eastAsia="Times New Roman" w:hAnsi="Courier New" w:cs="Times New Roman"/>
      <w:i/>
      <w:szCs w:val="20"/>
      <w:lang w:eastAsia="en-US"/>
    </w:rPr>
  </w:style>
  <w:style w:type="paragraph" w:customStyle="1" w:styleId="HeadingBase">
    <w:name w:val="Heading Base"/>
    <w:rsid w:val="00A9252E"/>
    <w:pPr>
      <w:keepNext/>
      <w:spacing w:after="0" w:line="240" w:lineRule="auto"/>
    </w:pPr>
    <w:rPr>
      <w:rFonts w:ascii="Times New Roman" w:eastAsia="Times New Roman" w:hAnsi="Times New Roman" w:cs="Times New Roman"/>
      <w:b/>
      <w:sz w:val="24"/>
      <w:szCs w:val="20"/>
      <w:lang w:eastAsia="en-US"/>
    </w:rPr>
  </w:style>
  <w:style w:type="paragraph" w:styleId="TOC3">
    <w:name w:val="toc 3"/>
    <w:basedOn w:val="TOCBase"/>
    <w:next w:val="Normal"/>
    <w:semiHidden/>
    <w:rsid w:val="00A9252E"/>
    <w:pPr>
      <w:tabs>
        <w:tab w:val="right" w:leader="dot" w:pos="9072"/>
      </w:tabs>
      <w:ind w:left="567"/>
    </w:pPr>
    <w:rPr>
      <w:szCs w:val="22"/>
    </w:rPr>
  </w:style>
  <w:style w:type="paragraph" w:customStyle="1" w:styleId="TOCBase">
    <w:name w:val="TOC Base"/>
    <w:rsid w:val="00A9252E"/>
    <w:pPr>
      <w:spacing w:after="0" w:line="240" w:lineRule="auto"/>
    </w:pPr>
    <w:rPr>
      <w:rFonts w:ascii="Garamond" w:eastAsia="Times New Roman" w:hAnsi="Garamond" w:cs="Times New Roman"/>
      <w:noProof/>
      <w:sz w:val="20"/>
      <w:szCs w:val="20"/>
      <w:lang w:eastAsia="en-US"/>
    </w:rPr>
  </w:style>
  <w:style w:type="paragraph" w:styleId="TOC2">
    <w:name w:val="toc 2"/>
    <w:basedOn w:val="TOCBase"/>
    <w:next w:val="Normal"/>
    <w:rsid w:val="00A9252E"/>
    <w:pPr>
      <w:tabs>
        <w:tab w:val="right" w:leader="dot" w:pos="9072"/>
      </w:tabs>
      <w:spacing w:before="40" w:after="40"/>
      <w:ind w:left="284"/>
    </w:pPr>
    <w:rPr>
      <w:rFonts w:ascii="Times New Roman" w:hAnsi="Times New Roman"/>
    </w:rPr>
  </w:style>
  <w:style w:type="paragraph" w:styleId="TOC1">
    <w:name w:val="toc 1"/>
    <w:basedOn w:val="TOCBase"/>
    <w:next w:val="Normal"/>
    <w:rsid w:val="00A9252E"/>
    <w:pPr>
      <w:keepNext/>
      <w:tabs>
        <w:tab w:val="right" w:leader="dot" w:pos="9072"/>
      </w:tabs>
      <w:spacing w:before="120" w:after="60"/>
    </w:pPr>
    <w:rPr>
      <w:rFonts w:ascii="Times New Roman" w:hAnsi="Times New Roman"/>
      <w:b/>
      <w:szCs w:val="24"/>
    </w:rPr>
  </w:style>
  <w:style w:type="paragraph" w:styleId="Footer">
    <w:name w:val="footer"/>
    <w:basedOn w:val="Normal"/>
    <w:link w:val="FooterChar"/>
    <w:rsid w:val="00A9252E"/>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A9252E"/>
    <w:rPr>
      <w:rFonts w:ascii="Times New Roman" w:eastAsia="Times New Roman" w:hAnsi="Times New Roman" w:cs="Times New Roman"/>
      <w:sz w:val="16"/>
      <w:lang w:eastAsia="en-US"/>
    </w:rPr>
  </w:style>
  <w:style w:type="paragraph" w:styleId="Title">
    <w:name w:val="Title"/>
    <w:basedOn w:val="HeadingBase"/>
    <w:link w:val="TitleChar"/>
    <w:qFormat/>
    <w:rsid w:val="00A9252E"/>
    <w:pPr>
      <w:spacing w:before="5040"/>
      <w:jc w:val="center"/>
    </w:pPr>
    <w:rPr>
      <w:sz w:val="48"/>
      <w:szCs w:val="72"/>
      <w:lang w:val="en-US"/>
    </w:rPr>
  </w:style>
  <w:style w:type="character" w:customStyle="1" w:styleId="TitleChar">
    <w:name w:val="Title Char"/>
    <w:basedOn w:val="DefaultParagraphFont"/>
    <w:link w:val="Title"/>
    <w:rsid w:val="00A9252E"/>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A9252E"/>
    <w:pPr>
      <w:tabs>
        <w:tab w:val="left" w:pos="3600"/>
        <w:tab w:val="left" w:pos="3958"/>
      </w:tabs>
    </w:pPr>
  </w:style>
  <w:style w:type="paragraph" w:styleId="List">
    <w:name w:val="List"/>
    <w:basedOn w:val="BodyText"/>
    <w:next w:val="BodyText"/>
    <w:rsid w:val="00A9252E"/>
    <w:pPr>
      <w:tabs>
        <w:tab w:val="left" w:pos="340"/>
      </w:tabs>
      <w:spacing w:before="60" w:after="60"/>
      <w:ind w:left="340" w:hanging="340"/>
    </w:pPr>
  </w:style>
  <w:style w:type="paragraph" w:customStyle="1" w:styleId="Note">
    <w:name w:val="Note"/>
    <w:basedOn w:val="BodyText"/>
    <w:rsid w:val="00A9252E"/>
    <w:pPr>
      <w:pBdr>
        <w:top w:val="single" w:sz="6" w:space="2" w:color="auto"/>
        <w:left w:val="single" w:sz="6" w:space="4" w:color="auto"/>
        <w:bottom w:val="single" w:sz="6" w:space="2" w:color="auto"/>
        <w:right w:val="single" w:sz="6" w:space="4" w:color="auto"/>
      </w:pBdr>
      <w:tabs>
        <w:tab w:val="left" w:pos="680"/>
      </w:tabs>
    </w:pPr>
  </w:style>
  <w:style w:type="paragraph" w:customStyle="1" w:styleId="SuperTitle">
    <w:name w:val="SuperTitle"/>
    <w:basedOn w:val="Title"/>
    <w:rsid w:val="00A9252E"/>
    <w:pPr>
      <w:framePr w:wrap="auto" w:hAnchor="text" w:y="6049"/>
    </w:pPr>
    <w:rPr>
      <w:color w:val="000000"/>
      <w:sz w:val="40"/>
    </w:rPr>
  </w:style>
  <w:style w:type="paragraph" w:customStyle="1" w:styleId="TOCTitle">
    <w:name w:val="TOCTitle"/>
    <w:basedOn w:val="Heading1"/>
    <w:rsid w:val="00A9252E"/>
    <w:pPr>
      <w:spacing w:after="240"/>
      <w:jc w:val="center"/>
      <w:outlineLvl w:val="9"/>
    </w:pPr>
    <w:rPr>
      <w:caps/>
    </w:rPr>
  </w:style>
  <w:style w:type="paragraph" w:customStyle="1" w:styleId="Version">
    <w:name w:val="Version"/>
    <w:rsid w:val="00A9252E"/>
    <w:pPr>
      <w:spacing w:before="5600" w:after="0" w:line="240" w:lineRule="auto"/>
    </w:pPr>
    <w:rPr>
      <w:rFonts w:ascii="Times New Roman" w:eastAsia="Times New Roman" w:hAnsi="Times New Roman" w:cs="Times New Roman"/>
      <w:b/>
      <w:sz w:val="20"/>
      <w:szCs w:val="72"/>
      <w:lang w:val="en-US" w:eastAsia="en-US"/>
    </w:rPr>
  </w:style>
  <w:style w:type="paragraph" w:styleId="Index1">
    <w:name w:val="index 1"/>
    <w:basedOn w:val="Normal"/>
    <w:next w:val="Normal"/>
    <w:semiHidden/>
    <w:rsid w:val="00A9252E"/>
    <w:pPr>
      <w:keepNext w:val="0"/>
      <w:tabs>
        <w:tab w:val="right" w:pos="4176"/>
      </w:tabs>
      <w:ind w:left="198" w:hanging="198"/>
    </w:pPr>
    <w:rPr>
      <w:rFonts w:ascii="Garamond" w:hAnsi="Garamond"/>
    </w:rPr>
  </w:style>
  <w:style w:type="paragraph" w:styleId="IndexHeading">
    <w:name w:val="index heading"/>
    <w:basedOn w:val="Normal"/>
    <w:next w:val="Index1"/>
    <w:semiHidden/>
    <w:rsid w:val="00A9252E"/>
    <w:pPr>
      <w:spacing w:before="120" w:after="120"/>
    </w:pPr>
    <w:rPr>
      <w:rFonts w:ascii="Arial" w:hAnsi="Arial"/>
      <w:b/>
      <w:color w:val="918585"/>
      <w:sz w:val="24"/>
    </w:rPr>
  </w:style>
  <w:style w:type="paragraph" w:styleId="Header">
    <w:name w:val="header"/>
    <w:basedOn w:val="Normal"/>
    <w:link w:val="HeaderChar"/>
    <w:rsid w:val="00A9252E"/>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A9252E"/>
    <w:rPr>
      <w:rFonts w:ascii="Times New Roman" w:eastAsia="Times New Roman" w:hAnsi="Times New Roman" w:cs="Times New Roman"/>
      <w:sz w:val="16"/>
      <w:szCs w:val="20"/>
      <w:lang w:val="en-GB" w:eastAsia="en-US"/>
    </w:rPr>
  </w:style>
  <w:style w:type="paragraph" w:customStyle="1" w:styleId="Chapter">
    <w:name w:val="Chapter"/>
    <w:basedOn w:val="Normal"/>
    <w:rsid w:val="00A9252E"/>
    <w:pPr>
      <w:spacing w:before="240"/>
    </w:pPr>
    <w:rPr>
      <w:rFonts w:ascii="Times New Roman" w:hAnsi="Times New Roman"/>
      <w:smallCaps/>
      <w:spacing w:val="80"/>
      <w:sz w:val="28"/>
    </w:rPr>
  </w:style>
  <w:style w:type="paragraph" w:customStyle="1" w:styleId="InChapter">
    <w:name w:val="InChapter"/>
    <w:basedOn w:val="Heading3"/>
    <w:rsid w:val="00A9252E"/>
    <w:pPr>
      <w:spacing w:after="240"/>
      <w:outlineLvl w:val="9"/>
    </w:pPr>
    <w:rPr>
      <w:noProof/>
    </w:rPr>
  </w:style>
  <w:style w:type="paragraph" w:styleId="Index2">
    <w:name w:val="index 2"/>
    <w:basedOn w:val="Normal"/>
    <w:next w:val="Normal"/>
    <w:semiHidden/>
    <w:rsid w:val="00A9252E"/>
    <w:pPr>
      <w:tabs>
        <w:tab w:val="right" w:pos="4176"/>
      </w:tabs>
      <w:ind w:left="568" w:hanging="284"/>
    </w:pPr>
    <w:rPr>
      <w:rFonts w:ascii="Garamond" w:hAnsi="Garamond"/>
    </w:rPr>
  </w:style>
  <w:style w:type="paragraph" w:customStyle="1" w:styleId="Byline">
    <w:name w:val="Byline"/>
    <w:rsid w:val="00A9252E"/>
    <w:pPr>
      <w:framePr w:wrap="around" w:vAnchor="page" w:hAnchor="page" w:x="1666" w:y="13933"/>
      <w:spacing w:after="0" w:line="240" w:lineRule="auto"/>
    </w:pPr>
    <w:rPr>
      <w:rFonts w:ascii="Times New Roman" w:eastAsia="Times New Roman" w:hAnsi="Times New Roman" w:cs="Times New Roman"/>
      <w:color w:val="000000"/>
      <w:sz w:val="24"/>
      <w:szCs w:val="28"/>
      <w:lang w:val="en-US" w:eastAsia="en-US"/>
    </w:rPr>
  </w:style>
  <w:style w:type="paragraph" w:customStyle="1" w:styleId="Drawings">
    <w:name w:val="Drawings"/>
    <w:basedOn w:val="Figures"/>
    <w:rsid w:val="00A9252E"/>
    <w:pPr>
      <w:tabs>
        <w:tab w:val="clear" w:pos="3600"/>
        <w:tab w:val="clear" w:pos="3958"/>
      </w:tabs>
      <w:jc w:val="right"/>
    </w:pPr>
  </w:style>
  <w:style w:type="character" w:styleId="Emphasis">
    <w:name w:val="Emphasis"/>
    <w:basedOn w:val="DefaultParagraphFont"/>
    <w:qFormat/>
    <w:rsid w:val="00A9252E"/>
    <w:rPr>
      <w:i/>
    </w:rPr>
  </w:style>
  <w:style w:type="paragraph" w:styleId="Caption">
    <w:name w:val="caption"/>
    <w:basedOn w:val="BodyText"/>
    <w:next w:val="Normal"/>
    <w:qFormat/>
    <w:rsid w:val="00A9252E"/>
    <w:pPr>
      <w:framePr w:w="2268" w:hSpace="181" w:vSpace="181" w:wrap="around" w:vAnchor="text" w:hAnchor="page" w:x="1135" w:y="285" w:anchorLock="1"/>
    </w:pPr>
    <w:rPr>
      <w:i/>
    </w:rPr>
  </w:style>
  <w:style w:type="paragraph" w:customStyle="1" w:styleId="MiniTOCTitle">
    <w:name w:val="MiniTOCTitle"/>
    <w:basedOn w:val="Heading4"/>
    <w:rsid w:val="00A9252E"/>
    <w:pPr>
      <w:spacing w:before="240"/>
      <w:outlineLvl w:val="9"/>
    </w:pPr>
    <w:rPr>
      <w:noProof/>
      <w:sz w:val="24"/>
    </w:rPr>
  </w:style>
  <w:style w:type="paragraph" w:customStyle="1" w:styleId="MiniTOCItem">
    <w:name w:val="MiniTOCItem"/>
    <w:basedOn w:val="ListBullet"/>
    <w:rsid w:val="00A9252E"/>
    <w:pPr>
      <w:numPr>
        <w:numId w:val="0"/>
      </w:numPr>
      <w:tabs>
        <w:tab w:val="right" w:leader="dot" w:pos="6521"/>
      </w:tabs>
      <w:spacing w:before="0" w:after="0"/>
    </w:pPr>
  </w:style>
  <w:style w:type="paragraph" w:customStyle="1" w:styleId="TOFTitle">
    <w:name w:val="TOFTitle"/>
    <w:basedOn w:val="TOCTitle"/>
    <w:rsid w:val="00A9252E"/>
  </w:style>
  <w:style w:type="paragraph" w:styleId="TableofFigures">
    <w:name w:val="table of figures"/>
    <w:basedOn w:val="Normal"/>
    <w:next w:val="Normal"/>
    <w:semiHidden/>
    <w:rsid w:val="00A9252E"/>
    <w:pPr>
      <w:tabs>
        <w:tab w:val="right" w:leader="dot" w:pos="9072"/>
      </w:tabs>
      <w:ind w:left="970" w:hanging="403"/>
    </w:pPr>
    <w:rPr>
      <w:rFonts w:ascii="Times New Roman" w:hAnsi="Times New Roman"/>
      <w:b/>
    </w:rPr>
  </w:style>
  <w:style w:type="paragraph" w:styleId="ListNumber">
    <w:name w:val="List Number"/>
    <w:basedOn w:val="List"/>
    <w:rsid w:val="00A9252E"/>
    <w:pPr>
      <w:numPr>
        <w:numId w:val="12"/>
      </w:numPr>
    </w:pPr>
  </w:style>
  <w:style w:type="character" w:customStyle="1" w:styleId="WingdingSymbols">
    <w:name w:val="Wingding Symbols"/>
    <w:rsid w:val="00A9252E"/>
    <w:rPr>
      <w:rFonts w:ascii="Wingdings" w:hAnsi="Wingdings"/>
    </w:rPr>
  </w:style>
  <w:style w:type="paragraph" w:customStyle="1" w:styleId="TableHeading">
    <w:name w:val="Table Heading"/>
    <w:basedOn w:val="HeadingBase"/>
    <w:rsid w:val="00A9252E"/>
    <w:pPr>
      <w:keepLines/>
      <w:pBdr>
        <w:bottom w:val="single" w:sz="6" w:space="1" w:color="918585"/>
      </w:pBdr>
      <w:spacing w:before="240"/>
    </w:pPr>
  </w:style>
  <w:style w:type="character" w:customStyle="1" w:styleId="HotSpot">
    <w:name w:val="HotSpot"/>
    <w:rsid w:val="00A9252E"/>
    <w:rPr>
      <w:color w:val="0033CC"/>
      <w:u w:val="none"/>
    </w:rPr>
  </w:style>
  <w:style w:type="paragraph" w:customStyle="1" w:styleId="BodyTextRight">
    <w:name w:val="Body Text Right"/>
    <w:basedOn w:val="BodyText"/>
    <w:rsid w:val="00A9252E"/>
    <w:pPr>
      <w:spacing w:before="0" w:after="0"/>
      <w:jc w:val="right"/>
    </w:pPr>
  </w:style>
  <w:style w:type="paragraph" w:styleId="Index3">
    <w:name w:val="index 3"/>
    <w:basedOn w:val="ListNumber2"/>
    <w:next w:val="Normal"/>
    <w:semiHidden/>
    <w:rsid w:val="00A9252E"/>
    <w:pPr>
      <w:numPr>
        <w:numId w:val="0"/>
      </w:numPr>
      <w:tabs>
        <w:tab w:val="right" w:leader="dot" w:pos="4176"/>
      </w:tabs>
    </w:pPr>
  </w:style>
  <w:style w:type="paragraph" w:styleId="ListNumber2">
    <w:name w:val="List Number 2"/>
    <w:basedOn w:val="List2"/>
    <w:rsid w:val="00A9252E"/>
    <w:pPr>
      <w:numPr>
        <w:numId w:val="11"/>
      </w:numPr>
      <w:tabs>
        <w:tab w:val="clear" w:pos="1060"/>
      </w:tabs>
    </w:pPr>
  </w:style>
  <w:style w:type="paragraph" w:customStyle="1" w:styleId="MarginNote">
    <w:name w:val="Margin Note"/>
    <w:basedOn w:val="BodyText"/>
    <w:rsid w:val="00A9252E"/>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A9252E"/>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A9252E"/>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A9252E"/>
    <w:rPr>
      <w:sz w:val="32"/>
    </w:rPr>
  </w:style>
  <w:style w:type="paragraph" w:customStyle="1" w:styleId="HeadingProcedure">
    <w:name w:val="Heading Procedure"/>
    <w:basedOn w:val="HeadingBase"/>
    <w:next w:val="Normal"/>
    <w:rsid w:val="00A9252E"/>
    <w:pPr>
      <w:tabs>
        <w:tab w:val="left" w:pos="0"/>
      </w:tabs>
      <w:spacing w:before="120" w:after="60"/>
    </w:pPr>
    <w:rPr>
      <w:i/>
      <w:color w:val="918585"/>
      <w:sz w:val="22"/>
    </w:rPr>
  </w:style>
  <w:style w:type="paragraph" w:customStyle="1" w:styleId="TableBodyText">
    <w:name w:val="Table Body Text"/>
    <w:basedOn w:val="BodyText"/>
    <w:rsid w:val="00A9252E"/>
    <w:pPr>
      <w:spacing w:before="60" w:after="60"/>
    </w:pPr>
  </w:style>
  <w:style w:type="paragraph" w:styleId="ListContinue">
    <w:name w:val="List Continue"/>
    <w:basedOn w:val="List"/>
    <w:rsid w:val="00A9252E"/>
    <w:pPr>
      <w:ind w:firstLine="0"/>
    </w:pPr>
  </w:style>
  <w:style w:type="paragraph" w:customStyle="1" w:styleId="ListNote">
    <w:name w:val="List Note"/>
    <w:basedOn w:val="List"/>
    <w:rsid w:val="00A9252E"/>
    <w:pPr>
      <w:pBdr>
        <w:top w:val="single" w:sz="6" w:space="2" w:color="918585"/>
        <w:bottom w:val="single" w:sz="6" w:space="2" w:color="918585"/>
      </w:pBdr>
      <w:tabs>
        <w:tab w:val="left" w:pos="1021"/>
      </w:tabs>
      <w:ind w:firstLine="0"/>
    </w:pPr>
  </w:style>
  <w:style w:type="paragraph" w:customStyle="1" w:styleId="Warning">
    <w:name w:val="Warning"/>
    <w:basedOn w:val="BodyText"/>
    <w:rsid w:val="00A9252E"/>
    <w:pPr>
      <w:shd w:val="clear" w:color="auto" w:fill="D9D9D9"/>
      <w:tabs>
        <w:tab w:val="left" w:pos="992"/>
      </w:tabs>
      <w:ind w:left="119" w:right="119"/>
    </w:pPr>
    <w:rPr>
      <w:sz w:val="20"/>
    </w:rPr>
  </w:style>
  <w:style w:type="paragraph" w:customStyle="1" w:styleId="MarginIcons">
    <w:name w:val="Margin Icons"/>
    <w:basedOn w:val="BodyText"/>
    <w:rsid w:val="00A9252E"/>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A9252E"/>
    <w:rPr>
      <w:rFonts w:ascii="Courier New" w:hAnsi="Courier New"/>
    </w:rPr>
  </w:style>
  <w:style w:type="paragraph" w:customStyle="1" w:styleId="NoteBullet">
    <w:name w:val="Note Bullet"/>
    <w:basedOn w:val="Note"/>
    <w:rsid w:val="00A9252E"/>
    <w:pPr>
      <w:tabs>
        <w:tab w:val="clear" w:pos="680"/>
      </w:tabs>
      <w:spacing w:before="60" w:after="60"/>
    </w:pPr>
  </w:style>
  <w:style w:type="paragraph" w:customStyle="1" w:styleId="SubHeading2">
    <w:name w:val="SubHeading2"/>
    <w:basedOn w:val="HeadingBase"/>
    <w:rsid w:val="00A9252E"/>
    <w:pPr>
      <w:spacing w:before="240" w:after="60"/>
    </w:pPr>
    <w:rPr>
      <w:sz w:val="20"/>
    </w:rPr>
  </w:style>
  <w:style w:type="paragraph" w:customStyle="1" w:styleId="SubHeading1">
    <w:name w:val="SubHeading1"/>
    <w:basedOn w:val="HeadingBase"/>
    <w:rsid w:val="00A9252E"/>
    <w:pPr>
      <w:spacing w:before="240" w:after="60"/>
    </w:pPr>
    <w:rPr>
      <w:color w:val="918585"/>
      <w:sz w:val="22"/>
    </w:rPr>
  </w:style>
  <w:style w:type="paragraph" w:customStyle="1" w:styleId="SideHeading">
    <w:name w:val="Side Heading"/>
    <w:basedOn w:val="HeadingBase"/>
    <w:rsid w:val="00A9252E"/>
    <w:pPr>
      <w:framePr w:w="2268" w:h="567" w:hRule="atLeast" w:hSpace="181" w:vSpace="181" w:wrap="around" w:vAnchor="text" w:hAnchor="page" w:x="1419" w:y="370" w:anchorLock="1"/>
    </w:pPr>
    <w:rPr>
      <w:sz w:val="22"/>
    </w:rPr>
  </w:style>
  <w:style w:type="paragraph" w:customStyle="1" w:styleId="TableListBullet">
    <w:name w:val="Table List Bullet"/>
    <w:basedOn w:val="ListBullet"/>
    <w:rsid w:val="00A9252E"/>
    <w:pPr>
      <w:numPr>
        <w:numId w:val="13"/>
      </w:numPr>
    </w:pPr>
  </w:style>
  <w:style w:type="paragraph" w:styleId="PlainText">
    <w:name w:val="Plain Text"/>
    <w:basedOn w:val="Normal"/>
    <w:link w:val="PlainTextChar"/>
    <w:rsid w:val="00A9252E"/>
    <w:rPr>
      <w:sz w:val="20"/>
    </w:rPr>
  </w:style>
  <w:style w:type="character" w:customStyle="1" w:styleId="PlainTextChar">
    <w:name w:val="Plain Text Char"/>
    <w:basedOn w:val="DefaultParagraphFont"/>
    <w:link w:val="PlainText"/>
    <w:rsid w:val="00A9252E"/>
    <w:rPr>
      <w:rFonts w:ascii="Courier New" w:eastAsia="Times New Roman" w:hAnsi="Courier New" w:cs="Times New Roman"/>
      <w:sz w:val="20"/>
      <w:szCs w:val="20"/>
      <w:lang w:eastAsia="en-US"/>
    </w:rPr>
  </w:style>
  <w:style w:type="character" w:customStyle="1" w:styleId="MenuOption">
    <w:name w:val="Menu Option"/>
    <w:basedOn w:val="DefaultParagraphFont"/>
    <w:rsid w:val="00A9252E"/>
    <w:rPr>
      <w:b/>
      <w:smallCaps/>
    </w:rPr>
  </w:style>
  <w:style w:type="paragraph" w:customStyle="1" w:styleId="TableListNumber">
    <w:name w:val="Table List Number"/>
    <w:basedOn w:val="ListNumber"/>
    <w:rsid w:val="00A9252E"/>
    <w:pPr>
      <w:numPr>
        <w:numId w:val="0"/>
      </w:numPr>
    </w:pPr>
  </w:style>
  <w:style w:type="paragraph" w:styleId="TOC4">
    <w:name w:val="toc 4"/>
    <w:basedOn w:val="TOCBase"/>
    <w:next w:val="Normal"/>
    <w:semiHidden/>
    <w:rsid w:val="00A9252E"/>
    <w:pPr>
      <w:tabs>
        <w:tab w:val="right" w:leader="dot" w:pos="9071"/>
      </w:tabs>
      <w:ind w:left="1701"/>
    </w:pPr>
  </w:style>
  <w:style w:type="paragraph" w:customStyle="1" w:styleId="ListAlpha">
    <w:name w:val="List Alpha"/>
    <w:basedOn w:val="List"/>
    <w:rsid w:val="00A9252E"/>
    <w:pPr>
      <w:numPr>
        <w:numId w:val="10"/>
      </w:numPr>
    </w:pPr>
  </w:style>
  <w:style w:type="paragraph" w:customStyle="1" w:styleId="ListAlpha2">
    <w:name w:val="List Alpha 2"/>
    <w:basedOn w:val="List2"/>
    <w:rsid w:val="00A9252E"/>
    <w:pPr>
      <w:numPr>
        <w:numId w:val="9"/>
      </w:numPr>
    </w:pPr>
  </w:style>
  <w:style w:type="paragraph" w:styleId="List2">
    <w:name w:val="List 2"/>
    <w:basedOn w:val="BodyText"/>
    <w:rsid w:val="00A9252E"/>
    <w:pPr>
      <w:tabs>
        <w:tab w:val="left" w:pos="680"/>
      </w:tabs>
      <w:spacing w:before="60" w:after="60"/>
      <w:ind w:left="680" w:hanging="340"/>
    </w:pPr>
  </w:style>
  <w:style w:type="paragraph" w:styleId="List3">
    <w:name w:val="List 3"/>
    <w:basedOn w:val="BodyText"/>
    <w:rsid w:val="00A9252E"/>
    <w:pPr>
      <w:tabs>
        <w:tab w:val="left" w:pos="1021"/>
      </w:tabs>
      <w:spacing w:before="60" w:after="60"/>
      <w:ind w:left="1020" w:hanging="340"/>
    </w:pPr>
  </w:style>
  <w:style w:type="paragraph" w:styleId="List4">
    <w:name w:val="List 4"/>
    <w:basedOn w:val="BodyText"/>
    <w:rsid w:val="00A9252E"/>
    <w:pPr>
      <w:tabs>
        <w:tab w:val="left" w:pos="1361"/>
      </w:tabs>
      <w:spacing w:before="60" w:after="60"/>
      <w:ind w:left="1361" w:hanging="340"/>
    </w:pPr>
  </w:style>
  <w:style w:type="paragraph" w:styleId="List5">
    <w:name w:val="List 5"/>
    <w:basedOn w:val="BodyText"/>
    <w:rsid w:val="00A9252E"/>
    <w:pPr>
      <w:tabs>
        <w:tab w:val="left" w:pos="1701"/>
      </w:tabs>
      <w:spacing w:before="60" w:after="60"/>
      <w:ind w:left="1701" w:hanging="340"/>
    </w:pPr>
  </w:style>
  <w:style w:type="paragraph" w:styleId="ListBullet4">
    <w:name w:val="List Bullet 4"/>
    <w:basedOn w:val="List4"/>
    <w:rsid w:val="00A9252E"/>
    <w:pPr>
      <w:numPr>
        <w:numId w:val="4"/>
      </w:numPr>
    </w:pPr>
  </w:style>
  <w:style w:type="paragraph" w:styleId="ListBullet5">
    <w:name w:val="List Bullet 5"/>
    <w:basedOn w:val="List5"/>
    <w:rsid w:val="00A9252E"/>
    <w:pPr>
      <w:numPr>
        <w:numId w:val="5"/>
      </w:numPr>
    </w:pPr>
  </w:style>
  <w:style w:type="paragraph" w:styleId="ListContinue2">
    <w:name w:val="List Continue 2"/>
    <w:basedOn w:val="List2"/>
    <w:rsid w:val="00A9252E"/>
    <w:pPr>
      <w:ind w:firstLine="0"/>
    </w:pPr>
  </w:style>
  <w:style w:type="paragraph" w:styleId="ListContinue3">
    <w:name w:val="List Continue 3"/>
    <w:basedOn w:val="List3"/>
    <w:rsid w:val="00A9252E"/>
    <w:pPr>
      <w:ind w:left="1021" w:firstLine="0"/>
    </w:pPr>
  </w:style>
  <w:style w:type="paragraph" w:styleId="ListContinue4">
    <w:name w:val="List Continue 4"/>
    <w:basedOn w:val="List4"/>
    <w:rsid w:val="00A9252E"/>
    <w:pPr>
      <w:ind w:firstLine="0"/>
    </w:pPr>
  </w:style>
  <w:style w:type="paragraph" w:styleId="ListContinue5">
    <w:name w:val="List Continue 5"/>
    <w:basedOn w:val="List5"/>
    <w:rsid w:val="00A9252E"/>
    <w:pPr>
      <w:ind w:firstLine="0"/>
    </w:pPr>
  </w:style>
  <w:style w:type="paragraph" w:styleId="ListNumber3">
    <w:name w:val="List Number 3"/>
    <w:basedOn w:val="List3"/>
    <w:rsid w:val="00A9252E"/>
    <w:pPr>
      <w:numPr>
        <w:numId w:val="6"/>
      </w:numPr>
    </w:pPr>
  </w:style>
  <w:style w:type="paragraph" w:styleId="ListNumber4">
    <w:name w:val="List Number 4"/>
    <w:basedOn w:val="List4"/>
    <w:rsid w:val="00A9252E"/>
    <w:pPr>
      <w:numPr>
        <w:numId w:val="7"/>
      </w:numPr>
    </w:pPr>
  </w:style>
  <w:style w:type="paragraph" w:styleId="ListNumber5">
    <w:name w:val="List Number 5"/>
    <w:basedOn w:val="List5"/>
    <w:rsid w:val="00A9252E"/>
    <w:pPr>
      <w:numPr>
        <w:numId w:val="8"/>
      </w:numPr>
    </w:pPr>
  </w:style>
  <w:style w:type="paragraph" w:styleId="BlockText">
    <w:name w:val="Block Text"/>
    <w:basedOn w:val="Normal"/>
    <w:rsid w:val="00A9252E"/>
    <w:pPr>
      <w:spacing w:after="120"/>
      <w:ind w:left="1440" w:right="1440"/>
    </w:pPr>
  </w:style>
  <w:style w:type="character" w:customStyle="1" w:styleId="Subscript">
    <w:name w:val="Subscript"/>
    <w:basedOn w:val="DefaultParagraphFont"/>
    <w:rsid w:val="00A9252E"/>
    <w:rPr>
      <w:sz w:val="16"/>
      <w:vertAlign w:val="subscript"/>
    </w:rPr>
  </w:style>
  <w:style w:type="character" w:customStyle="1" w:styleId="Superscript">
    <w:name w:val="Superscript"/>
    <w:basedOn w:val="DefaultParagraphFont"/>
    <w:rsid w:val="00A9252E"/>
    <w:rPr>
      <w:sz w:val="16"/>
      <w:vertAlign w:val="superscript"/>
    </w:rPr>
  </w:style>
  <w:style w:type="character" w:customStyle="1" w:styleId="Symbols">
    <w:name w:val="Symbols"/>
    <w:basedOn w:val="DefaultParagraphFont"/>
    <w:rsid w:val="00A9252E"/>
    <w:rPr>
      <w:rFonts w:ascii="Symbol" w:hAnsi="Symbol"/>
    </w:rPr>
  </w:style>
  <w:style w:type="character" w:customStyle="1" w:styleId="MenuOptions">
    <w:name w:val="Menu Options"/>
    <w:basedOn w:val="DefaultParagraphFont"/>
    <w:rsid w:val="00A9252E"/>
    <w:rPr>
      <w:rFonts w:ascii="Arial Narrow" w:hAnsi="Arial Narrow"/>
      <w:smallCaps/>
    </w:rPr>
  </w:style>
  <w:style w:type="character" w:customStyle="1" w:styleId="Buttons">
    <w:name w:val="Buttons"/>
    <w:basedOn w:val="DefaultParagraphFont"/>
    <w:rsid w:val="00A9252E"/>
    <w:rPr>
      <w:b/>
    </w:rPr>
  </w:style>
  <w:style w:type="character" w:customStyle="1" w:styleId="Underlined">
    <w:name w:val="Underlined"/>
    <w:basedOn w:val="DefaultParagraphFont"/>
    <w:rsid w:val="00A9252E"/>
    <w:rPr>
      <w:u w:val="single"/>
    </w:rPr>
  </w:style>
  <w:style w:type="paragraph" w:customStyle="1" w:styleId="TableBodyTextRight">
    <w:name w:val="Table Body Text Right"/>
    <w:basedOn w:val="TableBodyText"/>
    <w:rsid w:val="00A9252E"/>
    <w:pPr>
      <w:widowControl w:val="0"/>
      <w:autoSpaceDE w:val="0"/>
      <w:autoSpaceDN w:val="0"/>
      <w:adjustRightInd w:val="0"/>
      <w:jc w:val="right"/>
    </w:pPr>
    <w:rPr>
      <w:rFonts w:cs="Arial"/>
      <w:szCs w:val="18"/>
    </w:rPr>
  </w:style>
  <w:style w:type="paragraph" w:customStyle="1" w:styleId="CopyrightText">
    <w:name w:val="Copyright Text"/>
    <w:basedOn w:val="BodyText"/>
    <w:rsid w:val="00A9252E"/>
    <w:rPr>
      <w:sz w:val="18"/>
    </w:rPr>
  </w:style>
  <w:style w:type="paragraph" w:customStyle="1" w:styleId="BodySmallRight">
    <w:name w:val="Body Small Right"/>
    <w:basedOn w:val="BodyTextRight"/>
    <w:rsid w:val="00A9252E"/>
    <w:rPr>
      <w:sz w:val="18"/>
      <w:szCs w:val="18"/>
    </w:rPr>
  </w:style>
  <w:style w:type="paragraph" w:customStyle="1" w:styleId="MarginEdition">
    <w:name w:val="Margin Edition"/>
    <w:basedOn w:val="MarginNote"/>
    <w:rsid w:val="00A9252E"/>
    <w:pPr>
      <w:spacing w:before="0" w:after="0"/>
    </w:pPr>
    <w:rPr>
      <w:rFonts w:ascii="Times New Roman" w:hAnsi="Times New Roman"/>
      <w:color w:val="999999"/>
    </w:rPr>
  </w:style>
  <w:style w:type="paragraph" w:customStyle="1" w:styleId="Spacer">
    <w:name w:val="Spacer"/>
    <w:basedOn w:val="Normal"/>
    <w:rsid w:val="00A9252E"/>
    <w:rPr>
      <w:sz w:val="2"/>
      <w:szCs w:val="2"/>
    </w:rPr>
  </w:style>
  <w:style w:type="character" w:customStyle="1" w:styleId="Small">
    <w:name w:val="Small"/>
    <w:basedOn w:val="DefaultParagraphFont"/>
    <w:rsid w:val="00A9252E"/>
    <w:rPr>
      <w:sz w:val="16"/>
    </w:rPr>
  </w:style>
  <w:style w:type="paragraph" w:customStyle="1" w:styleId="WideTable">
    <w:name w:val="Wide Table"/>
    <w:basedOn w:val="Normal"/>
    <w:rsid w:val="00A9252E"/>
    <w:pPr>
      <w:ind w:left="-1418"/>
    </w:pPr>
    <w:rPr>
      <w:sz w:val="2"/>
      <w:szCs w:val="2"/>
    </w:rPr>
  </w:style>
  <w:style w:type="character" w:styleId="PageNumber">
    <w:name w:val="page number"/>
    <w:basedOn w:val="DefaultParagraphFont"/>
    <w:rsid w:val="00A9252E"/>
  </w:style>
  <w:style w:type="paragraph" w:styleId="Quote">
    <w:name w:val="Quote"/>
    <w:basedOn w:val="Heading1"/>
    <w:link w:val="QuoteChar"/>
    <w:qFormat/>
    <w:rsid w:val="00A9252E"/>
    <w:rPr>
      <w:b w:val="0"/>
      <w:sz w:val="72"/>
      <w:szCs w:val="72"/>
      <w:lang w:val="en-NZ"/>
    </w:rPr>
  </w:style>
  <w:style w:type="character" w:customStyle="1" w:styleId="QuoteChar">
    <w:name w:val="Quote Char"/>
    <w:basedOn w:val="DefaultParagraphFont"/>
    <w:link w:val="Quote"/>
    <w:rsid w:val="00A9252E"/>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A9252E"/>
    <w:pPr>
      <w:pageBreakBefore/>
    </w:pPr>
  </w:style>
  <w:style w:type="paragraph" w:customStyle="1" w:styleId="Border">
    <w:name w:val="Border"/>
    <w:basedOn w:val="Normal"/>
    <w:qFormat/>
    <w:rsid w:val="00A9252E"/>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A9252E"/>
    <w:rPr>
      <w:b/>
      <w:bCs/>
      <w:i/>
      <w:iCs/>
      <w:color w:val="auto"/>
    </w:rPr>
  </w:style>
  <w:style w:type="paragraph" w:styleId="IntenseQuote">
    <w:name w:val="Intense Quote"/>
    <w:basedOn w:val="Normal"/>
    <w:next w:val="Normal"/>
    <w:link w:val="IntenseQuoteChar"/>
    <w:uiPriority w:val="30"/>
    <w:qFormat/>
    <w:rsid w:val="00A9252E"/>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A9252E"/>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A9252E"/>
    <w:rPr>
      <w:smallCaps/>
      <w:color w:val="auto"/>
      <w:u w:val="single"/>
    </w:rPr>
  </w:style>
  <w:style w:type="character" w:styleId="IntenseReference">
    <w:name w:val="Intense Reference"/>
    <w:basedOn w:val="DefaultParagraphFont"/>
    <w:uiPriority w:val="32"/>
    <w:qFormat/>
    <w:rsid w:val="00A9252E"/>
    <w:rPr>
      <w:b/>
      <w:bCs/>
      <w:smallCaps/>
      <w:color w:val="auto"/>
      <w:spacing w:val="5"/>
      <w:u w:val="single"/>
    </w:rPr>
  </w:style>
  <w:style w:type="paragraph" w:customStyle="1" w:styleId="2ColumnHeading">
    <w:name w:val="2Column Heading"/>
    <w:basedOn w:val="BodyText"/>
    <w:qFormat/>
    <w:rsid w:val="00A9252E"/>
    <w:pPr>
      <w:spacing w:after="60"/>
      <w:ind w:left="-2268"/>
    </w:pPr>
    <w:rPr>
      <w:b/>
    </w:rPr>
  </w:style>
  <w:style w:type="paragraph" w:customStyle="1" w:styleId="Heading1TOC">
    <w:name w:val="Heading1 TOC"/>
    <w:basedOn w:val="Normal"/>
    <w:qFormat/>
    <w:rsid w:val="00A9252E"/>
    <w:pPr>
      <w:spacing w:before="240" w:after="120"/>
    </w:pPr>
    <w:rPr>
      <w:rFonts w:ascii="Times New Roman" w:hAnsi="Times New Roman"/>
      <w:b/>
      <w:sz w:val="32"/>
    </w:rPr>
  </w:style>
  <w:style w:type="paragraph" w:customStyle="1" w:styleId="Heading2TOC">
    <w:name w:val="Heading2 TOC"/>
    <w:basedOn w:val="Normal"/>
    <w:qFormat/>
    <w:rsid w:val="00A9252E"/>
    <w:pPr>
      <w:spacing w:before="240" w:after="60"/>
    </w:pPr>
    <w:rPr>
      <w:rFonts w:ascii="Times New Roman" w:hAnsi="Times New Roman"/>
      <w:b/>
      <w:sz w:val="28"/>
    </w:rPr>
  </w:style>
  <w:style w:type="character" w:customStyle="1" w:styleId="Underline">
    <w:name w:val="Underline"/>
    <w:basedOn w:val="DefaultParagraphFont"/>
    <w:qFormat/>
    <w:rsid w:val="00A9252E"/>
    <w:rPr>
      <w:u w:val="single"/>
    </w:rPr>
  </w:style>
  <w:style w:type="paragraph" w:styleId="BalloonText">
    <w:name w:val="Balloon Text"/>
    <w:basedOn w:val="Normal"/>
    <w:link w:val="BalloonTextChar"/>
    <w:rsid w:val="00A9252E"/>
    <w:rPr>
      <w:rFonts w:ascii="Tahoma" w:hAnsi="Tahoma" w:cs="Tahoma"/>
      <w:sz w:val="16"/>
      <w:szCs w:val="16"/>
    </w:rPr>
  </w:style>
  <w:style w:type="character" w:customStyle="1" w:styleId="BalloonTextChar">
    <w:name w:val="Balloon Text Char"/>
    <w:basedOn w:val="DefaultParagraphFont"/>
    <w:link w:val="BalloonText"/>
    <w:rsid w:val="00A9252E"/>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A9252E"/>
    <w:pPr>
      <w:spacing w:before="0" w:after="0"/>
      <w:ind w:firstLine="360"/>
      <w:contextualSpacing w:val="0"/>
    </w:pPr>
    <w:rPr>
      <w:rFonts w:ascii="Courier New" w:hAnsi="Courier New"/>
      <w:szCs w:val="20"/>
    </w:rPr>
  </w:style>
  <w:style w:type="character" w:customStyle="1" w:styleId="BodyTextFirstIndentChar">
    <w:name w:val="Body Text First Indent Char"/>
    <w:basedOn w:val="BodyTextChar"/>
    <w:link w:val="BodyTextFirstIndent"/>
    <w:rsid w:val="00A9252E"/>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A9252E"/>
    <w:rPr>
      <w:b/>
      <w:color w:val="660033"/>
      <w:spacing w:val="0"/>
    </w:rPr>
  </w:style>
  <w:style w:type="paragraph" w:customStyle="1" w:styleId="Nameditemlist">
    <w:name w:val="Named item list"/>
    <w:basedOn w:val="BodyText"/>
    <w:qFormat/>
    <w:rsid w:val="00A9252E"/>
    <w:pPr>
      <w:keepNext w:val="0"/>
      <w:tabs>
        <w:tab w:val="left" w:pos="2835"/>
      </w:tabs>
      <w:ind w:left="2835" w:hanging="2835"/>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2.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1830</Words>
  <Characters>11665</Characters>
  <Application>Microsoft Office Word</Application>
  <DocSecurity>0</DocSecurity>
  <Lines>438</Lines>
  <Paragraphs>239</Paragraphs>
  <ScaleCrop>false</ScaleCrop>
  <Company>Author-it Software Corporation Ltd.</Company>
  <LinksUpToDate>false</LinksUpToDate>
  <CharactersWithSpaces>13400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CPCPGS3050A Install Type B gas appliance flues</dc:title>
  <dc:subject>Approved</dc:subject>
  <dc:creator>Construction &amp; Property Services Industry Skills Council</dc:creator>
  <cp:keywords>Release:</cp:keywords>
  <dc:description>Copyright © 1996-2007 Author-it Software Corporation Ltd., all rights reserved.</dc:description>
  <cp:lastModifiedBy>TPCMS</cp:lastModifiedBy>
  <cp:revision>3</cp:revision>
  <dcterms:created xsi:type="dcterms:W3CDTF">2013-02-06T06:21:00Z</dcterms:created>
  <dcterms:modified xsi:type="dcterms:W3CDTF">2013-02-06T06:21:00Z</dcterms:modified>
</cp:coreProperties>
</file>