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AMPOPR207 Work from rise and fall platform</w:t>
      </w:r>
      <w:bookmarkEnd w:id="0"/>
      <w:bookmarkEnd w:id="1"/>
    </w:p>
    <w:p w:rsidR="00D44002" w:rsidRPr="00F31CE3" w:rsidP="00F31CE3" w14:paraId="160C8F32" w14:textId="3B105B63">
      <w:pPr>
        <w:pStyle w:val="ChapterTitle"/>
      </w:pPr>
      <w:bookmarkStart w:id="2" w:name="AMPOPR207"/>
      <w:r w:rsidRPr="00F31CE3">
        <w:t>AMPOPR207 Work from rise and fall platform</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Application</w:t>
      </w:r>
    </w:p>
    <w:p w:rsidR="00D44002" w:rsidRPr="00F31CE3" w:rsidP="00F31CE3">
      <w:r w:rsidRPr="00F31CE3">
        <w:t>This unit describes the skills and knowledge required to operate a rise and fall platform, a pneumatically or hydraulically operated platform used to raise workers to work at adjustable levels.</w:t>
      </w:r>
    </w:p>
    <w:p w:rsidR="00D44002" w:rsidRPr="00F31CE3" w:rsidP="00F31CE3">
      <w:r w:rsidRPr="00F31CE3">
        <w:t>The unit applies to individuals who work under general supervision in a meat processing premises.</w:t>
      </w:r>
    </w:p>
    <w:p w:rsidR="00D44002" w:rsidRPr="00F31CE3" w:rsidP="00F31CE3">
      <w:r w:rsidRPr="00F31CE3">
        <w:t>All work must be carried out to comply with workplace procedures, according to state/territory health and safety regulations, legislation and standards that apply to the workplace.</w:t>
      </w:r>
    </w:p>
    <w:p w:rsidR="00D44002" w:rsidRPr="00F31CE3" w:rsidP="00F31CE3">
      <w:r w:rsidRPr="00F31CE3">
        <w:t>Mandatory workplace requirements apply to the assessment of this unit.</w:t>
      </w:r>
    </w:p>
    <w:p w:rsidR="00D44002" w:rsidRPr="00F31CE3" w:rsidP="00F31CE3">
      <w:pPr>
        <w:pStyle w:val="Heading1"/>
      </w:pPr>
      <w:r w:rsidRPr="00F31CE3">
        <w:t>Licensing/Regulatory Information</w:t>
      </w:r>
    </w:p>
    <w:p w:rsidR="00D44002" w:rsidRPr="00F31CE3" w:rsidP="00F31CE3">
      <w:r w:rsidRPr="00F31CE3">
        <w:t>No licensing, legislative or certification requirements apply to this unit at the time of publication.</w:t>
      </w:r>
    </w:p>
    <w:p w:rsidR="00D44002" w:rsidRPr="00F31CE3" w:rsidP="00F31CE3">
      <w:pPr>
        <w:pStyle w:val="Heading1"/>
      </w:pPr>
      <w:r w:rsidRPr="00F31CE3">
        <w:t>Pre-requisite unit(s)</w:t>
      </w:r>
    </w:p>
    <w:p w:rsidR="00D44002" w:rsidRPr="00F31CE3" w:rsidP="00F31CE3">
      <w:r w:rsidRPr="00F31CE3">
        <w:t>Nil.</w:t>
      </w:r>
    </w:p>
    <w:p w:rsidR="00D44002" w:rsidRPr="00F31CE3" w:rsidP="00F31CE3">
      <w:pPr>
        <w:pStyle w:val="Heading1"/>
      </w:pPr>
      <w:r w:rsidRPr="00F31CE3">
        <w:t>Competency field(s)</w:t>
      </w:r>
    </w:p>
    <w:p w:rsidR="00D44002" w:rsidRPr="00F31CE3" w:rsidP="00F31CE3">
      <w:r w:rsidRPr="00F31CE3">
        <w:t>N/A</w:t>
      </w:r>
    </w:p>
    <w:p w:rsidR="00D44002" w:rsidRPr="00F31CE3" w:rsidP="00F31CE3">
      <w:pPr>
        <w:pStyle w:val="Heading1"/>
      </w:pPr>
      <w:r w:rsidRPr="00F31CE3">
        <w:t>Unit sector(s)</w:t>
      </w:r>
    </w:p>
    <w:p w:rsidR="00D44002" w:rsidRPr="00F31CE3" w:rsidP="00F31CE3">
      <w:r w:rsidRPr="00F31CE3">
        <w:t>Operational (OPR)</w:t>
      </w:r>
    </w:p>
    <w:p w:rsidR="00D44002" w:rsidRPr="00F31CE3" w:rsidP="00F31CE3">
      <w:pPr>
        <w:pStyle w:val="Heading1"/>
      </w:pPr>
      <w:r w:rsidRPr="00F31CE3">
        <w:t>Elements and Performance Criteria</w:t>
      </w:r>
    </w:p>
    <w:tbl>
      <w:tblPr>
        <w:tblStyle w:val="TableGrid"/>
        <w:tblW w:w="5000" w:type="pct"/>
        <w:jc w:val="left"/>
      </w:tblPr>
      <w:tblGrid>
        <w:gridCol w:w="2856"/>
        <w:gridCol w:w="6204"/>
      </w:tblGrid>
      <w:tr>
        <w:tblPrEx>
          <w:tblW w:w="5000" w:type="pct"/>
        </w:tblPrEx>
        <w:tc>
          <w:tcPr>
            <w:tcW w:w="0" w:type="auto"/>
          </w:tcPr>
          <w:p w:rsidR="00D44002" w:rsidRPr="00F31CE3" w:rsidP="00F31CE3">
            <w:pPr>
              <w:jc w:val="left"/>
              <w:rPr>
                <w:b/>
                <w:bCs/>
              </w:rPr>
            </w:pPr>
            <w:r w:rsidRPr="00F31CE3">
              <w:rPr>
                <w:b/>
                <w:bCs/>
              </w:rPr>
              <w:t>Element</w:t>
            </w:r>
          </w:p>
        </w:tc>
        <w:tc>
          <w:tcPr>
            <w:tcW w:w="0" w:type="auto"/>
          </w:tcPr>
          <w:p w:rsidR="00D44002" w:rsidRPr="00F31CE3" w:rsidP="00F31CE3">
            <w:pPr>
              <w:jc w:val="left"/>
              <w:rPr>
                <w:b/>
                <w:bCs/>
              </w:rPr>
            </w:pPr>
            <w:r w:rsidRPr="00F31CE3">
              <w:rPr>
                <w:b/>
                <w:bCs/>
              </w:rPr>
              <w:t>Performance criteria</w:t>
            </w:r>
          </w:p>
        </w:tc>
      </w:tr>
      <w:tr>
        <w:tblPrEx>
          <w:tblW w:w="5000" w:type="pct"/>
        </w:tblPrEx>
        <w:tc>
          <w:tcPr>
            <w:tcW w:w="0" w:type="auto"/>
          </w:tcPr>
          <w:p w:rsidR="00D44002" w:rsidRPr="00F31CE3" w:rsidP="00F31CE3">
            <w:r w:rsidRPr="00F31CE3">
              <w:t>Elements describe the essential outcomes.</w:t>
            </w:r>
          </w:p>
        </w:tc>
        <w:tc>
          <w:tcPr>
            <w:tcW w:w="0" w:type="auto"/>
          </w:tcPr>
          <w:p w:rsidR="00D44002" w:rsidRPr="00F31CE3" w:rsidP="00F31CE3">
            <w:r w:rsidRPr="00F31CE3">
              <w:t>Performance criteria describe the performance needed to demonstrate achievement of the element.</w:t>
            </w:r>
          </w:p>
        </w:tc>
      </w:tr>
      <w:tr>
        <w:tblPrEx>
          <w:tblW w:w="5000" w:type="pct"/>
        </w:tblPrEx>
        <w:tc>
          <w:tcPr>
            <w:tcW w:w="0" w:type="auto"/>
          </w:tcPr>
          <w:p w:rsidR="00D44002" w:rsidRPr="00F31CE3" w:rsidP="00F31CE3">
            <w:r w:rsidRPr="00F31CE3">
              <w:t>1. Prepare to operate rise and fall platform</w:t>
            </w:r>
          </w:p>
        </w:tc>
        <w:tc>
          <w:tcPr>
            <w:tcW w:w="0" w:type="auto"/>
          </w:tcPr>
          <w:p w:rsidR="00D44002" w:rsidRPr="00F31CE3" w:rsidP="00F31CE3">
            <w:r w:rsidRPr="00F31CE3">
              <w:t>1.1 Identify workplace health and safety requirements for task, including personal protective equipment</w:t>
            </w:r>
          </w:p>
          <w:p w:rsidR="00D44002" w:rsidRPr="00F31CE3" w:rsidP="00F31CE3">
            <w:r w:rsidRPr="00F31CE3">
              <w:t>1.2 Identify safety hazards associated with operating rise and fall platforms, and control associated risks</w:t>
            </w:r>
          </w:p>
          <w:p w:rsidR="00D44002" w:rsidRPr="00F31CE3" w:rsidP="00F31CE3">
            <w:r w:rsidRPr="00F31CE3">
              <w:t>1.3 Identify work instruction for operating rise and fall platform</w:t>
            </w:r>
          </w:p>
        </w:tc>
      </w:tr>
      <w:tr>
        <w:tblPrEx>
          <w:tblW w:w="5000" w:type="pct"/>
        </w:tblPrEx>
        <w:tc>
          <w:tcPr>
            <w:tcW w:w="0" w:type="auto"/>
          </w:tcPr>
          <w:p w:rsidR="00D44002" w:rsidRPr="00F31CE3" w:rsidP="00F31CE3">
            <w:r w:rsidRPr="00F31CE3">
              <w:t>2. Raise and lower platform</w:t>
            </w:r>
          </w:p>
        </w:tc>
        <w:tc>
          <w:tcPr>
            <w:tcW w:w="0" w:type="auto"/>
          </w:tcPr>
          <w:p w:rsidR="00D44002" w:rsidRPr="00F31CE3" w:rsidP="00F31CE3">
            <w:r w:rsidRPr="00F31CE3">
              <w:t>2.1 Operate rise and fall platform following workplace requirements</w:t>
            </w:r>
          </w:p>
          <w:p w:rsidR="00D44002" w:rsidRPr="00F31CE3" w:rsidP="00F31CE3">
            <w:r w:rsidRPr="00F31CE3">
              <w:t>2.2 Operate rise and fall platform following workplace health and safety requirements</w:t>
            </w:r>
          </w:p>
          <w:p w:rsidR="00D44002" w:rsidRPr="00F31CE3" w:rsidP="00F31CE3">
            <w:r w:rsidRPr="00F31CE3">
              <w:t>2.3 Identify and report malfunctions and take corrective action following workplace requirements</w:t>
            </w:r>
          </w:p>
        </w:tc>
      </w:tr>
    </w:tbl>
    <w:p w:rsidR="00D44002" w:rsidRPr="00F31CE3" w:rsidP="00F31CE3">
      <w:pPr>
        <w:pStyle w:val="Heading1"/>
      </w:pPr>
      <w:r w:rsidRPr="00F31CE3">
        <w:t>Foundation Skills</w:t>
      </w:r>
    </w:p>
    <w:p w:rsidR="00D44002" w:rsidRPr="00F31CE3" w:rsidP="00F31CE3">
      <w:r w:rsidRPr="00F31CE3">
        <w:rPr>
          <w:i/>
          <w:iCs/>
        </w:rPr>
        <w:t>This section describes those language, literacy, numeracy and employment skills that are essential for performance in this unit of competency but are not explicit in the performance criteria.</w:t>
      </w:r>
    </w:p>
    <w:tbl>
      <w:tblPr>
        <w:tblStyle w:val="TableGrid"/>
        <w:tblW w:w="5000" w:type="pct"/>
        <w:jc w:val="left"/>
      </w:tblPr>
      <w:tblGrid>
        <w:gridCol w:w="2058"/>
        <w:gridCol w:w="7002"/>
      </w:tblGrid>
      <w:tr>
        <w:tblPrEx>
          <w:tblW w:w="5000" w:type="pct"/>
        </w:tblPrEx>
        <w:tc>
          <w:tcPr>
            <w:tcW w:w="0" w:type="auto"/>
          </w:tcPr>
          <w:p w:rsidR="00D44002" w:rsidRPr="00F31CE3" w:rsidP="00F31CE3">
            <w:pPr>
              <w:jc w:val="left"/>
            </w:pPr>
            <w:r w:rsidRPr="00F31CE3">
              <w:rPr>
                <w:rStyle w:val="Strong"/>
              </w:rPr>
              <w:t>Skill</w:t>
            </w:r>
          </w:p>
        </w:tc>
        <w:tc>
          <w:tcPr>
            <w:tcW w:w="0" w:type="auto"/>
          </w:tcPr>
          <w:p w:rsidR="00D44002" w:rsidRPr="00F31CE3" w:rsidP="00F31CE3">
            <w:pPr>
              <w:jc w:val="left"/>
            </w:pPr>
            <w:r w:rsidRPr="00F31CE3">
              <w:rPr>
                <w:rStyle w:val="Strong"/>
              </w:rPr>
              <w:t>Description</w:t>
            </w:r>
          </w:p>
        </w:tc>
      </w:tr>
      <w:tr>
        <w:tblPrEx>
          <w:tblW w:w="5000" w:type="pct"/>
        </w:tblPrEx>
        <w:tc>
          <w:tcPr>
            <w:tcW w:w="0" w:type="auto"/>
          </w:tcPr>
          <w:p w:rsidR="00D44002" w:rsidRPr="00F31CE3" w:rsidP="00F31CE3">
            <w:r w:rsidRPr="00F31CE3">
              <w:t>Reading</w:t>
            </w:r>
          </w:p>
        </w:tc>
        <w:tc>
          <w:tcPr>
            <w:tcW w:w="0" w:type="auto"/>
          </w:tcPr>
          <w:p w:rsidR="00D44002" w:rsidRPr="00F31CE3" w:rsidP="00F31CE3">
            <w:pPr>
              <w:numPr>
                <w:ilvl w:val="0"/>
                <w:numId w:val="2"/>
              </w:numPr>
              <w:ind w:left="720" w:hanging="360"/>
              <w:jc w:val="left"/>
            </w:pPr>
            <w:r w:rsidRPr="00F31CE3">
              <w:t>Interpret key elements of workplace instructions</w:t>
            </w:r>
          </w:p>
        </w:tc>
      </w:tr>
      <w:tr>
        <w:tblPrEx>
          <w:tblW w:w="5000" w:type="pct"/>
        </w:tblPrEx>
        <w:tc>
          <w:tcPr>
            <w:tcW w:w="0" w:type="auto"/>
          </w:tcPr>
          <w:p w:rsidR="00D44002" w:rsidRPr="00F31CE3" w:rsidP="00F31CE3">
            <w:r w:rsidRPr="00F31CE3">
              <w:t>Oral communication</w:t>
            </w:r>
          </w:p>
        </w:tc>
        <w:tc>
          <w:tcPr>
            <w:tcW w:w="0" w:type="auto"/>
          </w:tcPr>
          <w:p w:rsidR="00D44002" w:rsidRPr="00F31CE3" w:rsidP="00F31CE3">
            <w:pPr>
              <w:numPr>
                <w:ilvl w:val="0"/>
                <w:numId w:val="3"/>
              </w:numPr>
              <w:ind w:left="720" w:hanging="360"/>
              <w:jc w:val="left"/>
            </w:pPr>
            <w:r w:rsidRPr="00F31CE3">
              <w:t>Interact with team members and/or supervisor to ensure flow of work is maintained</w:t>
            </w:r>
          </w:p>
          <w:p w:rsidR="00D44002" w:rsidRPr="00F31CE3" w:rsidP="00F31CE3">
            <w:pPr>
              <w:numPr>
                <w:ilvl w:val="0"/>
                <w:numId w:val="3"/>
              </w:numPr>
              <w:ind w:left="720" w:hanging="360"/>
              <w:jc w:val="left"/>
            </w:pPr>
            <w:r w:rsidRPr="00F31CE3">
              <w:t>Ask questions to clarify information</w:t>
            </w:r>
          </w:p>
        </w:tc>
      </w:tr>
      <w:tr>
        <w:tblPrEx>
          <w:tblW w:w="5000" w:type="pct"/>
        </w:tblPrEx>
        <w:tc>
          <w:tcPr>
            <w:tcW w:w="0" w:type="auto"/>
          </w:tcPr>
          <w:p w:rsidR="00D44002" w:rsidRPr="00F31CE3" w:rsidP="00F31CE3">
            <w:r w:rsidRPr="00F31CE3">
              <w:t>Numeracy</w:t>
            </w:r>
          </w:p>
        </w:tc>
        <w:tc>
          <w:tcPr>
            <w:tcW w:w="0" w:type="auto"/>
          </w:tcPr>
          <w:p w:rsidR="00D44002" w:rsidRPr="00F31CE3" w:rsidP="00F31CE3">
            <w:pPr>
              <w:numPr>
                <w:ilvl w:val="0"/>
                <w:numId w:val="4"/>
              </w:numPr>
              <w:ind w:left="720" w:hanging="360"/>
              <w:jc w:val="left"/>
            </w:pPr>
            <w:r w:rsidRPr="00F31CE3">
              <w:t>Interpret and use symbols on equipment controls</w:t>
            </w:r>
          </w:p>
        </w:tc>
      </w:tr>
    </w:tbl>
    <w:p w:rsidR="00D44002" w:rsidRPr="00F31CE3" w:rsidP="00F31CE3">
      <w:pPr>
        <w:pStyle w:val="Heading1"/>
      </w:pPr>
      <w:r w:rsidRPr="00F31CE3">
        <w:t>Range of conditions</w:t>
      </w:r>
    </w:p>
    <w:p w:rsidR="00D44002" w:rsidRPr="00F31CE3" w:rsidP="00F31CE3">
      <w:r w:rsidRPr="00F31CE3">
        <w:t>No conditions apply to this unit of competency at the time of publication.</w:t>
      </w:r>
    </w:p>
    <w:p w:rsidR="00D44002" w:rsidRPr="00F31CE3" w:rsidP="00F31CE3">
      <w:pPr>
        <w:pStyle w:val="Heading1"/>
      </w:pPr>
      <w:r w:rsidRPr="00F31CE3">
        <w:t>Unit Mapping Information</w:t>
      </w:r>
    </w:p>
    <w:tbl>
      <w:tblPr>
        <w:tblStyle w:val="TableGrid"/>
        <w:tblW w:w="5000" w:type="pct"/>
        <w:jc w:val="left"/>
      </w:tblPr>
      <w:tblGrid>
        <w:gridCol w:w="2265"/>
        <w:gridCol w:w="2265"/>
        <w:gridCol w:w="2265"/>
        <w:gridCol w:w="2265"/>
      </w:tblGrid>
      <w:tr>
        <w:tblPrEx>
          <w:tblW w:w="5000" w:type="pct"/>
        </w:tblPrEx>
        <w:tc>
          <w:tcPr>
            <w:tcW w:w="2268" w:type="dxa"/>
            <w:noWrap w:val="0"/>
            <w:tcMar>
              <w:top w:w="0" w:type="dxa"/>
              <w:left w:w="108" w:type="dxa"/>
              <w:bottom w:w="0" w:type="dxa"/>
              <w:right w:w="108" w:type="dxa"/>
            </w:tcMar>
            <w:hideMark/>
          </w:tcPr>
          <w:p w:rsidR="00D44002" w:rsidRPr="00F31CE3" w:rsidP="00F31CE3">
            <w:r w:rsidRPr="00F31CE3">
              <w:t>Current Code and Title</w:t>
            </w:r>
          </w:p>
        </w:tc>
        <w:tc>
          <w:tcPr>
            <w:tcW w:w="2268" w:type="dxa"/>
            <w:noWrap w:val="0"/>
            <w:tcMar>
              <w:top w:w="0" w:type="dxa"/>
              <w:left w:w="108" w:type="dxa"/>
              <w:bottom w:w="0" w:type="dxa"/>
              <w:right w:w="108" w:type="dxa"/>
            </w:tcMar>
            <w:hideMark/>
          </w:tcPr>
          <w:p w:rsidR="00D44002" w:rsidRPr="00F31CE3" w:rsidP="00F31CE3">
            <w:r w:rsidRPr="00F31CE3">
              <w:t>Previous Code and Title</w:t>
            </w:r>
          </w:p>
        </w:tc>
        <w:tc>
          <w:tcPr>
            <w:tcW w:w="2268" w:type="dxa"/>
            <w:noWrap w:val="0"/>
            <w:tcMar>
              <w:top w:w="0" w:type="dxa"/>
              <w:left w:w="108" w:type="dxa"/>
              <w:bottom w:w="0" w:type="dxa"/>
              <w:right w:w="108" w:type="dxa"/>
            </w:tcMar>
            <w:hideMark/>
          </w:tcPr>
          <w:p w:rsidR="00D44002" w:rsidRPr="00F31CE3" w:rsidP="00F31CE3">
            <w:r w:rsidRPr="00F31CE3">
              <w:t>Comments</w:t>
            </w:r>
          </w:p>
        </w:tc>
        <w:tc>
          <w:tcPr>
            <w:tcW w:w="2268" w:type="dxa"/>
            <w:noWrap w:val="0"/>
            <w:tcMar>
              <w:top w:w="0" w:type="dxa"/>
              <w:left w:w="108" w:type="dxa"/>
              <w:bottom w:w="0" w:type="dxa"/>
              <w:right w:w="108" w:type="dxa"/>
            </w:tcMar>
            <w:hideMark/>
          </w:tcPr>
          <w:p w:rsidR="00D44002" w:rsidRPr="00F31CE3" w:rsidP="00F31CE3">
            <w:r w:rsidRPr="00F31CE3">
              <w:t>Equivalence</w:t>
            </w:r>
          </w:p>
        </w:tc>
      </w:tr>
      <w:tr>
        <w:tblPrEx>
          <w:tblW w:w="5000" w:type="pct"/>
        </w:tblPrEx>
        <w:tc>
          <w:tcPr>
            <w:tcW w:w="2268" w:type="dxa"/>
            <w:noWrap w:val="0"/>
            <w:tcMar>
              <w:top w:w="0" w:type="dxa"/>
              <w:left w:w="108" w:type="dxa"/>
              <w:bottom w:w="0" w:type="dxa"/>
              <w:right w:w="108" w:type="dxa"/>
            </w:tcMar>
            <w:hideMark/>
          </w:tcPr>
          <w:p w:rsidR="00D44002" w:rsidRPr="00F31CE3" w:rsidP="00F31CE3">
            <w:r w:rsidRPr="00F31CE3">
              <w:t>AMPOPR207 Work from rise and fall platform</w:t>
            </w:r>
          </w:p>
        </w:tc>
        <w:tc>
          <w:tcPr>
            <w:tcW w:w="2268" w:type="dxa"/>
            <w:noWrap w:val="0"/>
            <w:tcMar>
              <w:top w:w="0" w:type="dxa"/>
              <w:left w:w="108" w:type="dxa"/>
              <w:bottom w:w="0" w:type="dxa"/>
              <w:right w:w="108" w:type="dxa"/>
            </w:tcMar>
            <w:hideMark/>
          </w:tcPr>
          <w:p w:rsidR="00D44002" w:rsidRPr="00F31CE3" w:rsidP="00F31CE3">
            <w:r w:rsidRPr="00F31CE3">
              <w:t>AMPA2027 Operate rise and fall platform</w:t>
            </w:r>
          </w:p>
        </w:tc>
        <w:tc>
          <w:tcPr>
            <w:tcW w:w="2268" w:type="dxa"/>
            <w:noWrap w:val="0"/>
            <w:tcMar>
              <w:top w:w="0" w:type="dxa"/>
              <w:left w:w="108" w:type="dxa"/>
              <w:bottom w:w="0" w:type="dxa"/>
              <w:right w:w="108" w:type="dxa"/>
            </w:tcMar>
            <w:hideMark/>
          </w:tcPr>
          <w:p>
            <w:pPr>
              <w:spacing w:before="0" w:after="240" w:line="240" w:lineRule="auto"/>
              <w:rPr>
                <w:rFonts w:eastAsia="Times New Roman"/>
                <w:kern w:val="0"/>
                <w14:ligatures w14:val="none"/>
              </w:rPr>
            </w:pPr>
            <w:r>
              <w:rPr>
                <w:rFonts w:ascii="Times New Roman" w:eastAsia="Times New Roman" w:hAnsi="Times New Roman" w:cs="Times New Roman"/>
                <w:kern w:val="0"/>
                <w14:ligatures w14:val="none"/>
              </w:rPr>
              <w:t>Unit code and title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sector code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application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Performance Criteria clarified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Foundation Skills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Assessment Requirements re-worded for clarity</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Mandatory workplace requirements clarified</w:t>
            </w:r>
          </w:p>
          <w:p w:rsidR="00D44002" w:rsidRPr="00F31CE3" w:rsidP="00F31CE3"/>
        </w:tc>
        <w:tc>
          <w:tcPr>
            <w:tcW w:w="2268" w:type="dxa"/>
            <w:noWrap w:val="0"/>
            <w:tcMar>
              <w:top w:w="0" w:type="dxa"/>
              <w:left w:w="108" w:type="dxa"/>
              <w:bottom w:w="0" w:type="dxa"/>
              <w:right w:w="108" w:type="dxa"/>
            </w:tcMar>
            <w:hideMark/>
          </w:tcPr>
          <w:p w:rsidR="00D44002" w:rsidRPr="00F31CE3" w:rsidP="00F31CE3">
            <w:r w:rsidRPr="00F31CE3">
              <w:t>Equivalent</w:t>
            </w:r>
          </w:p>
        </w:tc>
      </w:tr>
    </w:tbl>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AMPOPR207_AR"/>
      <w:r w:rsidRPr="00F31CE3">
        <w:t>Assessment Requirements for AMPOPR207 Work from rise and fall platform</w:t>
      </w:r>
    </w:p>
    <w:p w:rsidR="00D44002" w:rsidRPr="00F31CE3" w:rsidP="00F31CE3">
      <w:pPr>
        <w:pStyle w:val="Heading1"/>
      </w:pPr>
      <w:bookmarkEnd w:id="3"/>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Performance Evidence</w:t>
      </w:r>
    </w:p>
    <w:p w:rsidR="00D44002" w:rsidRPr="00F31CE3" w:rsidP="00F31CE3">
      <w:r w:rsidRPr="00F31CE3">
        <w:t>An individual demonstrating competency must satisfy all of the elements and performance criteria in this unit.</w:t>
      </w:r>
    </w:p>
    <w:p w:rsidR="00D44002" w:rsidRPr="00F31CE3" w:rsidP="00F31CE3">
      <w:r w:rsidRPr="00F31CE3">
        <w:t>There must be evidence that the individual has operated and worked from a rise and fall platform following workplace requirements.</w:t>
      </w:r>
    </w:p>
    <w:p w:rsidR="00D44002" w:rsidRPr="00F31CE3" w:rsidP="00F31CE3">
      <w:r w:rsidRPr="00F31CE3">
        <w:t>The assessor must observe the individual operating the equipment working on a minimum of four carcases or for a minimum of 15 minutes.</w:t>
      </w:r>
    </w:p>
    <w:p w:rsidR="00D44002" w:rsidRPr="00F31CE3" w:rsidP="00F31CE3">
      <w:r w:rsidRPr="00F31CE3">
        <w:t>There must also be evidence that the individual has completed two shifts on the job, fulfilling workplace requirements (these shifts may include normal rotations into and out of the relevant work task).</w:t>
      </w:r>
    </w:p>
    <w:p w:rsidR="00D44002" w:rsidRPr="00F31CE3" w:rsidP="00F31CE3">
      <w:r w:rsidRPr="00F31CE3">
        <w:rPr>
          <w:rStyle w:val="Strong"/>
        </w:rPr>
        <w:t>Mandatory workplace requirements</w:t>
      </w:r>
    </w:p>
    <w:p w:rsidR="00D44002" w:rsidRPr="00F31CE3" w:rsidP="00F31CE3">
      <w:r w:rsidRPr="00F31CE3">
        <w:t>All performance evidence specified above must be demonstrated in a meat processing premises.</w:t>
      </w:r>
    </w:p>
    <w:p w:rsidR="00D44002" w:rsidRPr="00F31CE3" w:rsidP="00F31CE3">
      <w:pPr>
        <w:pStyle w:val="Heading1"/>
      </w:pPr>
      <w:r w:rsidRPr="00F31CE3">
        <w:t>Knowledge Evidence</w:t>
      </w:r>
    </w:p>
    <w:p w:rsidR="00D44002" w:rsidRPr="00F31CE3" w:rsidP="00F31CE3">
      <w:r w:rsidRPr="00F31CE3">
        <w:t>An individual must be able to demonstrate the knowledge required to perform the tasks outlined in the elements and performance criteria of this unit. This includes knowledge of:</w:t>
      </w:r>
    </w:p>
    <w:p w:rsidR="00D44002" w:rsidRPr="00F31CE3" w:rsidP="00F31CE3">
      <w:pPr>
        <w:numPr>
          <w:ilvl w:val="0"/>
          <w:numId w:val="5"/>
        </w:numPr>
        <w:ind w:left="720" w:hanging="360"/>
        <w:jc w:val="left"/>
      </w:pPr>
      <w:r w:rsidRPr="00F31CE3">
        <w:t>basic operating principles of the rise and fall platform, which may be operated using hand or foot controls</w:t>
      </w:r>
    </w:p>
    <w:p w:rsidR="00D44002" w:rsidRPr="00F31CE3" w:rsidP="00F31CE3">
      <w:pPr>
        <w:numPr>
          <w:ilvl w:val="0"/>
          <w:numId w:val="5"/>
        </w:numPr>
        <w:ind w:left="720" w:hanging="360"/>
        <w:jc w:val="left"/>
      </w:pPr>
      <w:r w:rsidRPr="00F31CE3">
        <w:t>hazards associated with using a rise and fall platform for the operator and other workers, and how the associated risks are controlled</w:t>
      </w:r>
    </w:p>
    <w:p w:rsidR="00D44002" w:rsidRPr="00F31CE3" w:rsidP="00F31CE3">
      <w:pPr>
        <w:numPr>
          <w:ilvl w:val="0"/>
          <w:numId w:val="5"/>
        </w:numPr>
        <w:ind w:left="720" w:hanging="360"/>
        <w:jc w:val="left"/>
      </w:pPr>
      <w:r w:rsidRPr="00F31CE3">
        <w:t>workplace health and safety requirements related to the operation of a rise and fall platform.</w:t>
      </w:r>
    </w:p>
    <w:p w:rsidR="00D44002" w:rsidRPr="00F31CE3" w:rsidP="00F31CE3">
      <w:pPr>
        <w:pStyle w:val="Heading1"/>
      </w:pPr>
      <w:r w:rsidRPr="00F31CE3">
        <w:t>Assessment Conditions</w:t>
      </w:r>
    </w:p>
    <w:p w:rsidR="00D44002" w:rsidRPr="00F31CE3" w:rsidP="00F31CE3">
      <w:r w:rsidRPr="00F31CE3">
        <w:t>Assessment of the skills in this unit of competency must take place under the following conditions:</w:t>
      </w:r>
    </w:p>
    <w:p w:rsidR="00D44002" w:rsidRPr="00F31CE3" w:rsidP="00F31CE3">
      <w:pPr>
        <w:numPr>
          <w:ilvl w:val="0"/>
          <w:numId w:val="3"/>
        </w:numPr>
        <w:ind w:left="720" w:hanging="360"/>
        <w:jc w:val="left"/>
      </w:pPr>
      <w:r w:rsidRPr="00F31CE3">
        <w:t>physical conditions:</w:t>
      </w:r>
    </w:p>
    <w:p w:rsidR="00D44002" w:rsidRPr="00F31CE3" w:rsidP="00F31CE3">
      <w:pPr>
        <w:numPr>
          <w:ilvl w:val="1"/>
          <w:numId w:val="3"/>
        </w:numPr>
        <w:ind w:left="1440" w:hanging="360"/>
        <w:jc w:val="left"/>
      </w:pPr>
      <w:r w:rsidRPr="00F31CE3">
        <w:t>skills must be demonstrated in a meat processing premises at workplace production speed</w:t>
      </w:r>
    </w:p>
    <w:p w:rsidR="00D44002" w:rsidRPr="00F31CE3" w:rsidP="00F31CE3">
      <w:pPr>
        <w:numPr>
          <w:ilvl w:val="0"/>
          <w:numId w:val="3"/>
        </w:numPr>
        <w:ind w:left="720" w:hanging="360"/>
        <w:jc w:val="left"/>
      </w:pPr>
      <w:r w:rsidRPr="00F31CE3">
        <w:t>resources, equipment and materials:</w:t>
      </w:r>
    </w:p>
    <w:p w:rsidR="00D44002" w:rsidRPr="00F31CE3" w:rsidP="00F31CE3">
      <w:pPr>
        <w:numPr>
          <w:ilvl w:val="1"/>
          <w:numId w:val="3"/>
        </w:numPr>
        <w:ind w:left="1440" w:hanging="360"/>
        <w:jc w:val="left"/>
      </w:pPr>
      <w:r w:rsidRPr="00F31CE3">
        <w:t>personal protective equipment</w:t>
      </w:r>
    </w:p>
    <w:p w:rsidR="00D44002" w:rsidRPr="00F31CE3" w:rsidP="00F31CE3">
      <w:pPr>
        <w:numPr>
          <w:ilvl w:val="1"/>
          <w:numId w:val="3"/>
        </w:numPr>
        <w:ind w:left="1440" w:hanging="360"/>
        <w:jc w:val="left"/>
      </w:pPr>
      <w:r w:rsidRPr="00F31CE3">
        <w:t>rise and fall platform</w:t>
      </w:r>
    </w:p>
    <w:p w:rsidR="00D44002" w:rsidRPr="00F31CE3" w:rsidP="00F31CE3">
      <w:pPr>
        <w:numPr>
          <w:ilvl w:val="0"/>
          <w:numId w:val="3"/>
        </w:numPr>
        <w:ind w:left="720" w:hanging="360"/>
        <w:jc w:val="left"/>
      </w:pPr>
      <w:r w:rsidRPr="00F31CE3">
        <w:t>specifications:</w:t>
      </w:r>
    </w:p>
    <w:p w:rsidR="00D44002" w:rsidRPr="00F31CE3" w:rsidP="00F31CE3">
      <w:pPr>
        <w:numPr>
          <w:ilvl w:val="1"/>
          <w:numId w:val="3"/>
        </w:numPr>
        <w:ind w:left="1440" w:hanging="360"/>
        <w:jc w:val="left"/>
      </w:pPr>
      <w:r w:rsidRPr="00F31CE3">
        <w:t>task-related documents</w:t>
      </w:r>
    </w:p>
    <w:p w:rsidR="00D44002" w:rsidRPr="00F31CE3" w:rsidP="00F31CE3">
      <w:pPr>
        <w:numPr>
          <w:ilvl w:val="0"/>
          <w:numId w:val="3"/>
        </w:numPr>
        <w:ind w:left="720" w:hanging="360"/>
        <w:jc w:val="left"/>
      </w:pPr>
      <w:r w:rsidRPr="00F31CE3">
        <w:t>personnel:</w:t>
      </w:r>
    </w:p>
    <w:p w:rsidR="00D44002" w:rsidRPr="00F31CE3" w:rsidP="00F31CE3">
      <w:pPr>
        <w:numPr>
          <w:ilvl w:val="1"/>
          <w:numId w:val="3"/>
        </w:numPr>
        <w:ind w:left="1440" w:hanging="360"/>
        <w:jc w:val="left"/>
      </w:pPr>
      <w:r w:rsidRPr="00F31CE3">
        <w:t>access to team members and/or workplace supervisor or mentor.</w:t>
      </w:r>
    </w:p>
    <w:p w:rsidR="00D44002" w:rsidRPr="00F31CE3" w:rsidP="00F31CE3">
      <w:r w:rsidRPr="00F31CE3">
        <w:t>Assessment for this unit must include at least three forms of evidence.</w:t>
      </w:r>
    </w:p>
    <w:p w:rsidR="00D44002" w:rsidRPr="00F31CE3" w:rsidP="00F31CE3">
      <w:r w:rsidRPr="00F31CE3">
        <w:t>Assessors of this unit must satisfy the requirements for assessors in applicable vocational education and training legislation, frameworks and/or standards.</w:t>
      </w:r>
    </w:p>
    <w:p w:rsidR="00D44002" w:rsidRPr="00F31CE3" w:rsidP="00F31CE3">
      <w:r w:rsidRPr="00F31CE3">
        <w:rPr>
          <w:rStyle w:val="Strong"/>
        </w:rPr>
        <w:t>Mandatory workplace requirements</w:t>
      </w:r>
    </w:p>
    <w:p w:rsidR="00D44002" w:rsidRPr="00F31CE3" w:rsidP="00F31CE3">
      <w:r w:rsidRPr="00F31CE3">
        <w:t xml:space="preserve">Mandatory workplace requirements are shown in </w:t>
      </w:r>
      <w:r w:rsidRPr="00F31CE3">
        <w:rPr>
          <w:i/>
          <w:iCs/>
        </w:rPr>
        <w:t>italic</w:t>
      </w:r>
      <w:r w:rsidRPr="00F31CE3">
        <w:t xml:space="preserve"> text. Refer to the Companion Volume Implementation Guide for further information.</w:t>
      </w:r>
    </w:p>
    <w:p w:rsidR="00D44002" w:rsidRPr="00F31CE3" w:rsidP="00F31CE3">
      <w:pPr>
        <w:pStyle w:val="Heading1"/>
      </w:pPr>
      <w:r w:rsidRPr="00F31CE3">
        <w:t>Link</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https://vetnet.gov.au/Pages/TrainingDocs.aspx?q=5e2e56b7-698f-4822-84bb-25adbb8443a7</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4</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6</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AMPOPR207 Work from rise and fall platform</w:t>
    </w:r>
    <w:r>
      <w:rPr>
        <w:sz w:val="16"/>
        <w:szCs w:val="16"/>
      </w:rPr>
      <w:tab/>
    </w:r>
    <w:r w:rsidRPr="003E4545">
      <w:rPr>
        <w:sz w:val="16"/>
        <w:szCs w:val="16"/>
      </w:rPr>
      <w:t xml:space="preserve">Date this document was generated: </w:t>
    </w:r>
    <w:r>
      <w:rPr>
        <w:sz w:val="16"/>
        <w:szCs w:val="16"/>
      </w:rPr>
      <w:t>2 February 2026</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AMPOPR207 Work from rise and fall platform</w:t>
    </w:r>
    <w:r>
      <w:rPr>
        <w:sz w:val="16"/>
        <w:szCs w:val="16"/>
      </w:rPr>
      <w:tab/>
    </w:r>
    <w:r w:rsidRPr="003E4545">
      <w:rPr>
        <w:sz w:val="16"/>
        <w:szCs w:val="16"/>
      </w:rPr>
      <w:t xml:space="preserve">Date this document was generated: </w:t>
    </w:r>
    <w:r>
      <w:rPr>
        <w:sz w:val="16"/>
        <w:szCs w:val="16"/>
      </w:rPr>
      <w:t>2 February 2026</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2647FB8D"/>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2"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665D409C"/>
    <w:multiLevelType w:val="hybridMultilevel"/>
    <w:tmpl w:val="665D409C"/>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1"/>
  </w:num>
  <w:num w:numId="2">
    <w:abstractNumId w:val="2"/>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 w:type="character" w:styleId="Strong">
    <w:name w:val="Strong"/>
    <w:basedOn w:val="DefaultParagraphFont"/>
    <w:uiPriority w:val="22"/>
    <w:qFormat/>
    <w:rsid w:val="00506D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vetnet.gov.au/Pages/TrainingDocs.aspx?q=5e2e56b7-698f-4822-84bb-25adbb8443a7"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Skills Insight</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AMPOPR207 Work from rise and fall platform</dc:title>
  <dc:subject>Release: 1</dc:subject>
  <dc:creator>Skills Insight</dc:creator>
  <cp:keywords>TPC v2.20.0-beta.1+1950.Branch.releases-2026-01-28-V1.Sha.e7133955a774ead6a901bb6e9327b4b2b5a018ab.e7133955a774ead6a901bb6e9327b4b2b5a018ab</cp:keywords>
  <cp:lastModifiedBy>TPC</cp:lastModifiedBy>
  <cp:revision>9</cp:revision>
  <dcterms:created xsi:type="dcterms:W3CDTF">2026-02-02T04:15:45Z</dcterms:created>
  <dcterms:modified xsi:type="dcterms:W3CDTF">2026-02-02T04:15:45Z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