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435C" w:rsidRDefault="006F435C" w:rsidP="006F435C">
      <w:pPr>
        <w:pStyle w:val="Title"/>
      </w:pPr>
      <w:r>
        <w:fldChar w:fldCharType="begin"/>
      </w:r>
      <w:r>
        <w:instrText xml:space="preserve"> TITLE   \* MERGEFORMAT </w:instrText>
      </w:r>
      <w:r>
        <w:fldChar w:fldCharType="separate"/>
      </w:r>
      <w:r>
        <w:t>UEPOPS430B Control permit to work operations</w:t>
      </w:r>
      <w:r>
        <w:fldChar w:fldCharType="end"/>
      </w:r>
    </w:p>
    <w:p w:rsidR="006F435C" w:rsidRDefault="006F435C" w:rsidP="006F435C">
      <w:pPr>
        <w:pStyle w:val="Version"/>
        <w:sectPr w:rsidR="006F435C" w:rsidSect="0073703D">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73703D" w:rsidRDefault="006F435C" w:rsidP="0073703D">
      <w:pPr>
        <w:pStyle w:val="SuperHeading"/>
      </w:pPr>
      <w:r w:rsidRPr="0073703D">
        <w:lastRenderedPageBreak/>
        <w:t>UEPOPS430B Control permit to work operations</w:t>
      </w:r>
    </w:p>
    <w:p w:rsidR="00000000" w:rsidRPr="0073703D" w:rsidRDefault="006F435C" w:rsidP="0073703D">
      <w:pPr>
        <w:pStyle w:val="Heading1"/>
      </w:pPr>
      <w:bookmarkStart w:id="1" w:name="O_475784"/>
      <w:bookmarkEnd w:id="1"/>
      <w:r w:rsidRPr="0073703D">
        <w:t>Modification History</w:t>
      </w:r>
    </w:p>
    <w:p w:rsidR="00000000" w:rsidRPr="0073703D" w:rsidRDefault="006F435C" w:rsidP="0073703D">
      <w:pPr>
        <w:pStyle w:val="BodyText"/>
      </w:pPr>
      <w:r w:rsidRPr="0073703D">
        <w:t>Not applicable.</w:t>
      </w:r>
    </w:p>
    <w:p w:rsidR="00000000" w:rsidRPr="0073703D" w:rsidRDefault="006F435C" w:rsidP="0073703D">
      <w:pPr>
        <w:pStyle w:val="AllowPageBreak"/>
      </w:pPr>
    </w:p>
    <w:p w:rsidR="00000000" w:rsidRPr="0073703D" w:rsidRDefault="006F435C" w:rsidP="0073703D">
      <w:pPr>
        <w:pStyle w:val="Heading1"/>
      </w:pPr>
      <w:bookmarkStart w:id="2" w:name="O_475782"/>
      <w:bookmarkEnd w:id="2"/>
      <w:r w:rsidRPr="0073703D">
        <w:t>Unit Descriptor</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6F435C">
        <w:trPr>
          <w:tblHeader/>
        </w:trPr>
        <w:tc>
          <w:tcPr>
            <w:tcW w:w="270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Unit Descriptor</w:t>
            </w:r>
          </w:p>
        </w:tc>
        <w:tc>
          <w:tcPr>
            <w:tcW w:w="57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1)</w:t>
            </w:r>
            <w:r w:rsidRPr="0073703D">
              <w:t xml:space="preserve"> </w:t>
            </w:r>
            <w:r w:rsidRPr="0073703D">
              <w:rPr>
                <w:rStyle w:val="SpecialBold"/>
              </w:rPr>
              <w:t>Scope:</w:t>
            </w:r>
          </w:p>
        </w:tc>
      </w:tr>
      <w:tr w:rsidR="00000000" w:rsidTr="006F435C">
        <w:tc>
          <w:tcPr>
            <w:tcW w:w="2700" w:type="dxa"/>
            <w:tcBorders>
              <w:top w:val="nil"/>
              <w:left w:val="nil"/>
              <w:bottom w:val="nil"/>
              <w:right w:val="nil"/>
            </w:tcBorders>
            <w:tcMar>
              <w:top w:w="0" w:type="dxa"/>
              <w:left w:w="62" w:type="dxa"/>
              <w:bottom w:w="0" w:type="dxa"/>
              <w:right w:w="62" w:type="dxa"/>
            </w:tcMar>
          </w:tcPr>
          <w:p w:rsidR="00000000" w:rsidRPr="0073703D" w:rsidRDefault="006F435C">
            <w:pPr>
              <w:pStyle w:val="BodyText"/>
              <w:keepNext w:val="0"/>
              <w:keepLines w:val="0"/>
              <w:contextualSpacing w:val="0"/>
            </w:pPr>
          </w:p>
        </w:tc>
        <w:tc>
          <w:tcPr>
            <w:tcW w:w="57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1.1) Descriptor</w:t>
            </w:r>
          </w:p>
        </w:tc>
      </w:tr>
      <w:tr w:rsidR="00000000" w:rsidRPr="0073703D" w:rsidTr="006F435C">
        <w:tc>
          <w:tcPr>
            <w:tcW w:w="270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This unit deals with the skills and knowledge required to perform work in association with a permit system.</w:t>
            </w:r>
          </w:p>
        </w:tc>
      </w:tr>
    </w:tbl>
    <w:p w:rsidR="00000000" w:rsidRPr="0073703D" w:rsidRDefault="006F435C" w:rsidP="0073703D">
      <w:pPr>
        <w:pStyle w:val="BodyText"/>
      </w:pPr>
    </w:p>
    <w:p w:rsidR="00000000" w:rsidRPr="0073703D" w:rsidRDefault="006F435C" w:rsidP="0073703D">
      <w:pPr>
        <w:pStyle w:val="AllowPageBreak"/>
      </w:pPr>
    </w:p>
    <w:p w:rsidR="00000000" w:rsidRPr="0073703D" w:rsidRDefault="006F435C" w:rsidP="0073703D">
      <w:pPr>
        <w:pStyle w:val="Heading1"/>
      </w:pPr>
      <w:bookmarkStart w:id="3" w:name="O_475771"/>
      <w:bookmarkEnd w:id="3"/>
      <w:r w:rsidRPr="0073703D">
        <w:t>Application of the Unit</w:t>
      </w:r>
    </w:p>
    <w:tbl>
      <w:tblPr>
        <w:tblW w:w="0" w:type="auto"/>
        <w:tblLayout w:type="fixed"/>
        <w:tblCellMar>
          <w:left w:w="62" w:type="dxa"/>
          <w:right w:w="62" w:type="dxa"/>
        </w:tblCellMar>
        <w:tblLook w:val="0000" w:firstRow="0" w:lastRow="0" w:firstColumn="0" w:lastColumn="0" w:noHBand="0" w:noVBand="0"/>
      </w:tblPr>
      <w:tblGrid>
        <w:gridCol w:w="2672"/>
        <w:gridCol w:w="5699"/>
      </w:tblGrid>
      <w:tr w:rsidR="00000000" w:rsidTr="006F435C">
        <w:tc>
          <w:tcPr>
            <w:tcW w:w="2672"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Application of the Unit</w:t>
            </w:r>
          </w:p>
        </w:tc>
        <w:tc>
          <w:tcPr>
            <w:tcW w:w="5699"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2)</w:t>
            </w:r>
          </w:p>
        </w:tc>
      </w:tr>
      <w:tr w:rsidR="00000000" w:rsidRPr="0073703D" w:rsidTr="006F435C">
        <w:tc>
          <w:tcPr>
            <w:tcW w:w="2672"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5699"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 xml:space="preserve">This unit is intended to augment formally acquired competencies. </w:t>
            </w:r>
          </w:p>
        </w:tc>
      </w:tr>
    </w:tbl>
    <w:p w:rsidR="00000000" w:rsidRPr="0073703D" w:rsidRDefault="006F435C" w:rsidP="0073703D">
      <w:pPr>
        <w:pStyle w:val="BodyText"/>
      </w:pPr>
    </w:p>
    <w:p w:rsidR="00000000" w:rsidRPr="0073703D" w:rsidRDefault="006F435C" w:rsidP="0073703D">
      <w:pPr>
        <w:pStyle w:val="AllowPageBreak"/>
      </w:pPr>
    </w:p>
    <w:p w:rsidR="00000000" w:rsidRPr="0073703D" w:rsidRDefault="006F435C" w:rsidP="0073703D">
      <w:pPr>
        <w:pStyle w:val="Heading1"/>
      </w:pPr>
      <w:bookmarkStart w:id="4" w:name="O_475778"/>
      <w:bookmarkEnd w:id="4"/>
      <w:r w:rsidRPr="0073703D">
        <w:t>Licensing/Regulatory Information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6F435C">
        <w:trPr>
          <w:tblHeader/>
        </w:trPr>
        <w:tc>
          <w:tcPr>
            <w:tcW w:w="270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License to practice</w:t>
            </w:r>
          </w:p>
        </w:tc>
        <w:tc>
          <w:tcPr>
            <w:tcW w:w="57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 xml:space="preserve">3) </w:t>
            </w:r>
          </w:p>
        </w:tc>
      </w:tr>
      <w:tr w:rsidR="00000000" w:rsidRPr="0073703D" w:rsidTr="006F435C">
        <w:tc>
          <w:tcPr>
            <w:tcW w:w="270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The skills and knowledge described in this unit do not require a licence to practise. However, practice in this unit is subject to regulations directly related to Occupational Healt</w:t>
            </w:r>
            <w:r w:rsidRPr="0073703D">
              <w:t>h and Safety.</w:t>
            </w:r>
          </w:p>
        </w:tc>
      </w:tr>
    </w:tbl>
    <w:p w:rsidR="00000000" w:rsidRPr="0073703D" w:rsidRDefault="006F435C" w:rsidP="0073703D">
      <w:pPr>
        <w:pStyle w:val="BodyText"/>
      </w:pPr>
    </w:p>
    <w:p w:rsidR="00000000" w:rsidRPr="0073703D" w:rsidRDefault="006F435C" w:rsidP="0073703D">
      <w:pPr>
        <w:pStyle w:val="AllowPageBreak"/>
      </w:pPr>
    </w:p>
    <w:p w:rsidR="00000000" w:rsidRPr="0073703D" w:rsidRDefault="006F435C" w:rsidP="0073703D">
      <w:pPr>
        <w:pStyle w:val="Heading1"/>
      </w:pPr>
      <w:bookmarkStart w:id="5" w:name="O_475779"/>
      <w:bookmarkEnd w:id="5"/>
      <w:r w:rsidRPr="0073703D">
        <w:t>Pre-Requisites</w:t>
      </w:r>
    </w:p>
    <w:tbl>
      <w:tblPr>
        <w:tblW w:w="0" w:type="auto"/>
        <w:tblLayout w:type="fixed"/>
        <w:tblCellMar>
          <w:left w:w="62" w:type="dxa"/>
          <w:right w:w="62" w:type="dxa"/>
        </w:tblCellMar>
        <w:tblLook w:val="0000" w:firstRow="0" w:lastRow="0" w:firstColumn="0" w:lastColumn="0" w:noHBand="0" w:noVBand="0"/>
      </w:tblPr>
      <w:tblGrid>
        <w:gridCol w:w="2700"/>
        <w:gridCol w:w="5764"/>
      </w:tblGrid>
      <w:tr w:rsidR="00000000" w:rsidRPr="0073703D" w:rsidTr="006F435C">
        <w:trPr>
          <w:tblHeader/>
        </w:trPr>
        <w:tc>
          <w:tcPr>
            <w:tcW w:w="270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Prerequisite Unit(s)</w:t>
            </w:r>
          </w:p>
        </w:tc>
        <w:tc>
          <w:tcPr>
            <w:tcW w:w="5764"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 xml:space="preserve">4) </w:t>
            </w:r>
          </w:p>
        </w:tc>
      </w:tr>
      <w:tr w:rsidR="00000000" w:rsidTr="006F435C">
        <w:tc>
          <w:tcPr>
            <w:tcW w:w="270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Competencies</w:t>
            </w:r>
          </w:p>
        </w:tc>
        <w:tc>
          <w:tcPr>
            <w:tcW w:w="5764"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4.1)</w:t>
            </w:r>
          </w:p>
        </w:tc>
      </w:tr>
      <w:tr w:rsidR="00000000" w:rsidRPr="0073703D" w:rsidTr="006F435C">
        <w:tc>
          <w:tcPr>
            <w:tcW w:w="270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5764"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 xml:space="preserve">Granting of competency in this unit shall be made only after competency in the following unit(s) has/have been </w:t>
            </w:r>
            <w:r w:rsidRPr="0073703D">
              <w:lastRenderedPageBreak/>
              <w:t>confirmed.</w:t>
            </w:r>
          </w:p>
          <w:p w:rsidR="00000000" w:rsidRPr="0073703D" w:rsidRDefault="006F435C" w:rsidP="0073703D">
            <w:pPr>
              <w:pStyle w:val="BodyText"/>
            </w:pPr>
            <w:r w:rsidRPr="0073703D">
              <w:t>Where pre-requisite pathways have been identified. All competencies in the Common Unit Group must be have been completed.</w:t>
            </w:r>
          </w:p>
          <w:p w:rsidR="00000000" w:rsidRPr="0073703D" w:rsidRDefault="006F435C" w:rsidP="0073703D">
            <w:pPr>
              <w:pStyle w:val="BodyText"/>
            </w:pPr>
            <w:r w:rsidRPr="0073703D">
              <w:t>There are no pre-requisite units</w:t>
            </w:r>
          </w:p>
        </w:tc>
      </w:tr>
    </w:tbl>
    <w:p w:rsidR="00000000" w:rsidRPr="0073703D" w:rsidRDefault="006F435C" w:rsidP="0073703D">
      <w:pPr>
        <w:pStyle w:val="BodyText"/>
      </w:pPr>
    </w:p>
    <w:tbl>
      <w:tblPr>
        <w:tblW w:w="0" w:type="auto"/>
        <w:tblLayout w:type="fixed"/>
        <w:tblCellMar>
          <w:left w:w="62" w:type="dxa"/>
          <w:right w:w="62" w:type="dxa"/>
        </w:tblCellMar>
        <w:tblLook w:val="0000" w:firstRow="0" w:lastRow="0" w:firstColumn="0" w:lastColumn="0" w:noHBand="0" w:noVBand="0"/>
      </w:tblPr>
      <w:tblGrid>
        <w:gridCol w:w="2700"/>
        <w:gridCol w:w="1080"/>
        <w:gridCol w:w="810"/>
        <w:gridCol w:w="990"/>
        <w:gridCol w:w="900"/>
        <w:gridCol w:w="1260"/>
        <w:gridCol w:w="720"/>
      </w:tblGrid>
      <w:tr w:rsidR="0073703D" w:rsidTr="006F435C">
        <w:trPr>
          <w:trHeight w:val="212"/>
        </w:trPr>
        <w:tc>
          <w:tcPr>
            <w:tcW w:w="270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Literacy and numeracy skills</w:t>
            </w:r>
          </w:p>
        </w:tc>
        <w:tc>
          <w:tcPr>
            <w:tcW w:w="5760" w:type="dxa"/>
            <w:gridSpan w:val="6"/>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 xml:space="preserve">4.2) </w:t>
            </w:r>
          </w:p>
        </w:tc>
      </w:tr>
      <w:tr w:rsidR="0073703D" w:rsidTr="006F435C">
        <w:tc>
          <w:tcPr>
            <w:tcW w:w="270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5760" w:type="dxa"/>
            <w:gridSpan w:val="6"/>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Participants are best equipped to achieve this unit if they have reading, writing and numeracy skills indicated by the following levels. A description of what each level entails is provided in Section 2.3.1 Language, Literacy and Numeracy.</w:t>
            </w:r>
          </w:p>
        </w:tc>
      </w:tr>
      <w:tr w:rsidR="00000000" w:rsidRPr="0073703D" w:rsidTr="006F435C">
        <w:tc>
          <w:tcPr>
            <w:tcW w:w="270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Reading</w:t>
            </w:r>
          </w:p>
        </w:tc>
        <w:tc>
          <w:tcPr>
            <w:tcW w:w="81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4</w:t>
            </w:r>
          </w:p>
        </w:tc>
        <w:tc>
          <w:tcPr>
            <w:tcW w:w="99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Writing</w:t>
            </w: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4</w:t>
            </w:r>
          </w:p>
        </w:tc>
        <w:tc>
          <w:tcPr>
            <w:tcW w:w="12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Numeracy</w:t>
            </w:r>
          </w:p>
        </w:tc>
        <w:tc>
          <w:tcPr>
            <w:tcW w:w="72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4</w:t>
            </w:r>
          </w:p>
        </w:tc>
      </w:tr>
    </w:tbl>
    <w:p w:rsidR="00000000" w:rsidRPr="0073703D" w:rsidRDefault="006F435C" w:rsidP="0073703D">
      <w:pPr>
        <w:pStyle w:val="BodyText"/>
      </w:pPr>
    </w:p>
    <w:p w:rsidR="00000000" w:rsidRPr="0073703D" w:rsidRDefault="006F435C" w:rsidP="0073703D">
      <w:pPr>
        <w:pStyle w:val="AllowPageBreak"/>
      </w:pPr>
    </w:p>
    <w:p w:rsidR="00000000" w:rsidRPr="0073703D" w:rsidRDefault="006F435C" w:rsidP="0073703D">
      <w:pPr>
        <w:pStyle w:val="Heading1"/>
      </w:pPr>
      <w:bookmarkStart w:id="6" w:name="O_475775"/>
      <w:bookmarkEnd w:id="6"/>
      <w:r w:rsidRPr="0073703D">
        <w:t>Employability Skills Information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6F435C">
        <w:trPr>
          <w:tblHeader/>
        </w:trPr>
        <w:tc>
          <w:tcPr>
            <w:tcW w:w="270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Employability Skills</w:t>
            </w:r>
          </w:p>
        </w:tc>
        <w:tc>
          <w:tcPr>
            <w:tcW w:w="57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 xml:space="preserve">5) </w:t>
            </w:r>
          </w:p>
        </w:tc>
      </w:tr>
      <w:tr w:rsidR="00000000" w:rsidRPr="0073703D" w:rsidTr="006F435C">
        <w:tc>
          <w:tcPr>
            <w:tcW w:w="270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 xml:space="preserve">The required outcomes described in this unit of competency contain applicable facets of Employability Skills. The Employability Skills Summary </w:t>
            </w:r>
            <w:r w:rsidRPr="0073703D">
              <w:t>of the qualification in which this unit of competency is packaged will assist in identifying Employability Skill requirements.</w:t>
            </w:r>
          </w:p>
        </w:tc>
      </w:tr>
    </w:tbl>
    <w:p w:rsidR="00000000" w:rsidRPr="0073703D" w:rsidRDefault="006F435C" w:rsidP="0073703D">
      <w:pPr>
        <w:pStyle w:val="BodyText"/>
      </w:pPr>
    </w:p>
    <w:p w:rsidR="00000000" w:rsidRPr="0073703D" w:rsidRDefault="006F435C" w:rsidP="0073703D">
      <w:pPr>
        <w:pStyle w:val="AllowPageBreak"/>
      </w:pPr>
    </w:p>
    <w:p w:rsidR="00000000" w:rsidRPr="0073703D" w:rsidRDefault="006F435C" w:rsidP="0073703D">
      <w:pPr>
        <w:pStyle w:val="Heading1"/>
      </w:pPr>
      <w:bookmarkStart w:id="7" w:name="O_475774"/>
      <w:bookmarkEnd w:id="7"/>
      <w:r w:rsidRPr="0073703D">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RPr="0073703D" w:rsidTr="006F435C">
        <w:tc>
          <w:tcPr>
            <w:tcW w:w="27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6)</w:t>
            </w:r>
            <w:r w:rsidRPr="0073703D">
              <w:t xml:space="preserve"> Elements describe the essential outcomes of a competency stan</w:t>
            </w:r>
            <w:r w:rsidRPr="0073703D">
              <w:t>dard unit</w:t>
            </w:r>
          </w:p>
        </w:tc>
        <w:tc>
          <w:tcPr>
            <w:tcW w:w="576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Performance Criteria describe the required performance needed to demonstrate achievement of the element. Assessment of performance is to be consistent with the Evidence Guide.</w:t>
            </w:r>
          </w:p>
        </w:tc>
      </w:tr>
    </w:tbl>
    <w:p w:rsidR="00000000" w:rsidRPr="0073703D" w:rsidRDefault="006F435C" w:rsidP="0073703D">
      <w:pPr>
        <w:pStyle w:val="BodyText"/>
      </w:pPr>
    </w:p>
    <w:p w:rsidR="00000000" w:rsidRPr="0073703D" w:rsidRDefault="006F435C" w:rsidP="0073703D">
      <w:pPr>
        <w:pStyle w:val="AllowPageBreak"/>
      </w:pPr>
    </w:p>
    <w:p w:rsidR="00000000" w:rsidRPr="0073703D" w:rsidRDefault="006F435C" w:rsidP="0073703D">
      <w:pPr>
        <w:pStyle w:val="Heading1"/>
      </w:pPr>
      <w:bookmarkStart w:id="8" w:name="O_475773"/>
      <w:bookmarkEnd w:id="8"/>
      <w:r w:rsidRPr="0073703D">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404"/>
        <w:gridCol w:w="2296"/>
        <w:gridCol w:w="900"/>
        <w:gridCol w:w="4860"/>
      </w:tblGrid>
      <w:tr w:rsidR="0073703D" w:rsidTr="006F435C">
        <w:trPr>
          <w:tblHeader/>
        </w:trPr>
        <w:tc>
          <w:tcPr>
            <w:tcW w:w="2700" w:type="dxa"/>
            <w:gridSpan w:val="2"/>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ELEMENT</w:t>
            </w:r>
          </w:p>
        </w:tc>
        <w:tc>
          <w:tcPr>
            <w:tcW w:w="5760" w:type="dxa"/>
            <w:gridSpan w:val="2"/>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PERFORMANCE CRITERIA</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1</w:t>
            </w:r>
          </w:p>
        </w:tc>
        <w:tc>
          <w:tcPr>
            <w:tcW w:w="2296" w:type="dxa"/>
            <w:vMerge w:val="restart"/>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Plan and prepare for permit to work procedures</w:t>
            </w: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1.1</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 xml:space="preserve">Work requirements are identified from request/work orders or equivalent and clarified/confirmed. </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1.2</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Relevant information and documentation is obtained in accordance with enter</w:t>
            </w:r>
            <w:r w:rsidRPr="0073703D">
              <w:t xml:space="preserve">prise policy/procedures. </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1.3</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 xml:space="preserve">Occupational Health and Safety standards, enterprise procedures/requirements are identified and monitored throughout the work procedure. </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1.4</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Plant is identified in accordance with enterprise procedures.</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1.5</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Consultation with all key stakeholders to identify state of plant, requirements, isolations and timetables is confirmed in accordance with enterprise procedures</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1.6</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 xml:space="preserve">Where appropriate, the teams and individuals roles and responsibilities within the team </w:t>
            </w:r>
            <w:r w:rsidRPr="0073703D">
              <w:t xml:space="preserve">are identified, and where required, assist in the provision of on-the-job training </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2</w:t>
            </w:r>
          </w:p>
        </w:tc>
        <w:tc>
          <w:tcPr>
            <w:tcW w:w="2296" w:type="dxa"/>
            <w:vMerge w:val="restart"/>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Perform permit duties</w:t>
            </w: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2.1</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Permit is obtained and interpreted to confirm accuracy and relevance in accordance with job requirements.</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2.2</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Isolations and appropriate barriers/tagging are confirmed in accordance with permit instructions.</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2.3</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Permit requirements are conveyed and clarified to others involved or affected by the work in accordance with permit requirements.</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2.4</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Others involved are "signed-on" to the permit prior to the commencement of work in accordance with permit requirements</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2.5</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Permit conditions are monitored throughout the work sequence in accordance with permit requirements.</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3</w:t>
            </w:r>
          </w:p>
        </w:tc>
        <w:tc>
          <w:tcPr>
            <w:tcW w:w="2296" w:type="dxa"/>
            <w:vMerge w:val="restart"/>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Complete the work</w:t>
            </w: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3.1</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Plan</w:t>
            </w:r>
            <w:r w:rsidRPr="0073703D">
              <w:t>t is inspected and returned to normal, to ensure it is safe to return to service and all staff working are warned to remain clear.</w:t>
            </w:r>
          </w:p>
        </w:tc>
      </w:tr>
      <w:tr w:rsidR="00000000" w:rsidTr="006F435C">
        <w:tc>
          <w:tcPr>
            <w:tcW w:w="404"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3.2</w:t>
            </w:r>
          </w:p>
        </w:tc>
        <w:tc>
          <w:tcPr>
            <w:tcW w:w="48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All staff signed on are to sign off to indicate their authority to work is removed.</w:t>
            </w:r>
          </w:p>
        </w:tc>
      </w:tr>
      <w:tr w:rsidR="00000000" w:rsidRPr="0073703D" w:rsidTr="006F435C">
        <w:tc>
          <w:tcPr>
            <w:tcW w:w="404"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t>3.3</w:t>
            </w:r>
          </w:p>
        </w:tc>
        <w:tc>
          <w:tcPr>
            <w:tcW w:w="486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Work is completed and appropriate personnel notified in accordance with site/enterprise requirements</w:t>
            </w:r>
          </w:p>
        </w:tc>
      </w:tr>
    </w:tbl>
    <w:p w:rsidR="00000000" w:rsidRPr="0073703D" w:rsidRDefault="006F435C" w:rsidP="0073703D">
      <w:pPr>
        <w:pStyle w:val="BodyText"/>
      </w:pPr>
    </w:p>
    <w:p w:rsidR="00000000" w:rsidRPr="0073703D" w:rsidRDefault="006F435C" w:rsidP="0073703D">
      <w:pPr>
        <w:pStyle w:val="AllowPageBreak"/>
      </w:pPr>
    </w:p>
    <w:p w:rsidR="00000000" w:rsidRPr="0073703D" w:rsidRDefault="006F435C" w:rsidP="0073703D">
      <w:pPr>
        <w:pStyle w:val="Heading1"/>
      </w:pPr>
      <w:bookmarkStart w:id="9" w:name="O_475781"/>
      <w:bookmarkEnd w:id="9"/>
      <w:r w:rsidRPr="0073703D">
        <w:lastRenderedPageBreak/>
        <w:t>Required Skills and Knowledge</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73703D" w:rsidTr="006F435C">
        <w:trPr>
          <w:tblHeader/>
        </w:trPr>
        <w:tc>
          <w:tcPr>
            <w:tcW w:w="84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REQUIRED SKILLS AND KNOWLEDGE</w:t>
            </w:r>
          </w:p>
        </w:tc>
      </w:tr>
      <w:tr w:rsidR="00000000" w:rsidRPr="0073703D" w:rsidTr="006F435C">
        <w:trPr>
          <w:trHeight w:val="226"/>
        </w:trPr>
        <w:tc>
          <w:tcPr>
            <w:tcW w:w="846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8)</w:t>
            </w:r>
            <w:r w:rsidRPr="0073703D">
              <w:t xml:space="preserve"> This describes the essential skills and knowledge and their level, required for this unit.</w:t>
            </w:r>
          </w:p>
          <w:p w:rsidR="00000000" w:rsidRPr="0073703D" w:rsidRDefault="006F435C" w:rsidP="0073703D">
            <w:pPr>
              <w:pStyle w:val="BodyText"/>
            </w:pPr>
            <w:r w:rsidRPr="0073703D">
              <w:t>Evidence shall show that knowledge has been acquired controlling permits to work operations.</w:t>
            </w:r>
          </w:p>
          <w:p w:rsidR="00000000" w:rsidRPr="0073703D" w:rsidRDefault="006F435C" w:rsidP="0073703D">
            <w:pPr>
              <w:pStyle w:val="BodyText"/>
            </w:pPr>
            <w:r w:rsidRPr="0073703D">
              <w:t>All knowledge and skills detailed in this unit should be contextualised</w:t>
            </w:r>
            <w:r w:rsidRPr="0073703D">
              <w:t xml:space="preserve"> to current industry practices and technologies.</w:t>
            </w:r>
          </w:p>
          <w:p w:rsidR="00000000" w:rsidRPr="0073703D" w:rsidRDefault="006F435C" w:rsidP="0073703D">
            <w:pPr>
              <w:pStyle w:val="BodyText"/>
            </w:pPr>
            <w:r w:rsidRPr="0073703D">
              <w:t>The extent of the Essential Knowledge and Associated Skills required follows:</w:t>
            </w:r>
          </w:p>
          <w:p w:rsidR="00000000" w:rsidRPr="0073703D" w:rsidRDefault="006F435C" w:rsidP="0073703D">
            <w:pPr>
              <w:pStyle w:val="BodyText"/>
            </w:pPr>
            <w:r w:rsidRPr="0073703D">
              <w:t>KS01-PO430B  Permit to work operations</w:t>
            </w:r>
          </w:p>
          <w:p w:rsidR="00000000" w:rsidRPr="0073703D" w:rsidRDefault="006F435C" w:rsidP="0073703D">
            <w:pPr>
              <w:pStyle w:val="BodyText"/>
            </w:pPr>
            <w:r w:rsidRPr="0073703D">
              <w:t>T1  Evidence shall show that knowledge has been acquired for safe working practices of:</w:t>
            </w:r>
          </w:p>
          <w:p w:rsidR="00000000" w:rsidRPr="0073703D" w:rsidRDefault="006F435C" w:rsidP="0073703D">
            <w:pPr>
              <w:pStyle w:val="ListBullet"/>
            </w:pPr>
            <w:r w:rsidRPr="0073703D">
              <w:t>R</w:t>
            </w:r>
            <w:r w:rsidRPr="0073703D">
              <w:t>elevant environmental, occupational health and safety legislation and  regulations</w:t>
            </w:r>
          </w:p>
          <w:p w:rsidR="00000000" w:rsidRPr="0073703D" w:rsidRDefault="006F435C" w:rsidP="0073703D">
            <w:pPr>
              <w:pStyle w:val="ListBullet"/>
            </w:pPr>
            <w:r w:rsidRPr="0073703D">
              <w:t>Enterprise procedures</w:t>
            </w:r>
          </w:p>
          <w:p w:rsidR="00000000" w:rsidRPr="0073703D" w:rsidRDefault="006F435C" w:rsidP="0073703D">
            <w:pPr>
              <w:pStyle w:val="ListBullet"/>
            </w:pPr>
            <w:r w:rsidRPr="0073703D">
              <w:t>Plant drawings and manufacturers manuals</w:t>
            </w:r>
          </w:p>
          <w:p w:rsidR="00000000" w:rsidRPr="0073703D" w:rsidRDefault="006F435C" w:rsidP="0073703D">
            <w:pPr>
              <w:pStyle w:val="ListBullet"/>
            </w:pPr>
            <w:r w:rsidRPr="0073703D">
              <w:t>Introduction to and typical arrangements of power production plant</w:t>
            </w:r>
          </w:p>
          <w:p w:rsidR="00000000" w:rsidRPr="0073703D" w:rsidRDefault="006F435C" w:rsidP="0073703D">
            <w:pPr>
              <w:pStyle w:val="ListBullet"/>
            </w:pPr>
            <w:r w:rsidRPr="0073703D">
              <w:t>Relevant plant and equipment, its location</w:t>
            </w:r>
          </w:p>
          <w:p w:rsidR="00000000" w:rsidRPr="0073703D" w:rsidRDefault="006F435C" w:rsidP="0073703D">
            <w:pPr>
              <w:pStyle w:val="ListBullet"/>
            </w:pPr>
            <w:r w:rsidRPr="0073703D">
              <w:t>Enterprise recording procedures</w:t>
            </w:r>
          </w:p>
          <w:p w:rsidR="00000000" w:rsidRPr="0073703D" w:rsidRDefault="006F435C" w:rsidP="0073703D">
            <w:pPr>
              <w:pStyle w:val="ListBullet"/>
            </w:pPr>
            <w:r w:rsidRPr="0073703D">
              <w:t>Mechanical equipment isolation techniques</w:t>
            </w:r>
          </w:p>
          <w:p w:rsidR="00000000" w:rsidRPr="0073703D" w:rsidRDefault="006F435C" w:rsidP="0073703D">
            <w:pPr>
              <w:pStyle w:val="ListBullet"/>
            </w:pPr>
            <w:r w:rsidRPr="0073703D">
              <w:t>Electrical equipment isolation techniques</w:t>
            </w:r>
          </w:p>
          <w:p w:rsidR="00000000" w:rsidRPr="0073703D" w:rsidRDefault="006F435C" w:rsidP="0073703D">
            <w:pPr>
              <w:pStyle w:val="ListBullet"/>
            </w:pPr>
            <w:r w:rsidRPr="0073703D">
              <w:t>Mechanical isolation equipment types and characteristics</w:t>
            </w:r>
          </w:p>
          <w:p w:rsidR="00000000" w:rsidRPr="0073703D" w:rsidRDefault="006F435C" w:rsidP="0073703D">
            <w:pPr>
              <w:pStyle w:val="ListBullet"/>
            </w:pPr>
            <w:r w:rsidRPr="0073703D">
              <w:t>Electrical isolation equipment types and characteristics</w:t>
            </w:r>
          </w:p>
          <w:p w:rsidR="00000000" w:rsidRPr="0073703D" w:rsidRDefault="006F435C" w:rsidP="0073703D">
            <w:pPr>
              <w:pStyle w:val="BodyText"/>
            </w:pPr>
            <w:r w:rsidRPr="0073703D">
              <w:t>T2  Specific skills needed to achieve the Performance Criteria:</w:t>
            </w:r>
          </w:p>
          <w:p w:rsidR="00000000" w:rsidRPr="0073703D" w:rsidRDefault="006F435C" w:rsidP="0073703D">
            <w:pPr>
              <w:pStyle w:val="ListBullet"/>
            </w:pPr>
            <w:r w:rsidRPr="0073703D">
              <w:t>Interpret plant drawings and manufacturers manuals</w:t>
            </w:r>
          </w:p>
          <w:p w:rsidR="00000000" w:rsidRPr="0073703D" w:rsidRDefault="006F435C" w:rsidP="0073703D">
            <w:pPr>
              <w:pStyle w:val="ListBullet"/>
            </w:pPr>
            <w:r w:rsidRPr="0073703D">
              <w:t>Locate relevant plant and equipment</w:t>
            </w:r>
          </w:p>
          <w:p w:rsidR="00000000" w:rsidRPr="0073703D" w:rsidRDefault="006F435C" w:rsidP="0073703D">
            <w:pPr>
              <w:pStyle w:val="ListBullet"/>
            </w:pPr>
            <w:r w:rsidRPr="0073703D">
              <w:t>Identify plant status</w:t>
            </w:r>
          </w:p>
          <w:p w:rsidR="00000000" w:rsidRPr="0073703D" w:rsidRDefault="006F435C" w:rsidP="0073703D">
            <w:pPr>
              <w:pStyle w:val="ListBullet"/>
            </w:pPr>
            <w:r w:rsidRPr="0073703D">
              <w:t>Plan and prioritise work</w:t>
            </w:r>
          </w:p>
          <w:p w:rsidR="00000000" w:rsidRPr="0073703D" w:rsidRDefault="006F435C" w:rsidP="0073703D">
            <w:pPr>
              <w:pStyle w:val="ListBullet"/>
            </w:pPr>
            <w:r w:rsidRPr="0073703D">
              <w:t>Apply planning principles and techniques</w:t>
            </w:r>
          </w:p>
          <w:p w:rsidR="00000000" w:rsidRPr="0073703D" w:rsidRDefault="006F435C" w:rsidP="0073703D">
            <w:pPr>
              <w:pStyle w:val="ListBullet"/>
            </w:pPr>
            <w:r w:rsidRPr="0073703D">
              <w:t>Communicate effe</w:t>
            </w:r>
            <w:r w:rsidRPr="0073703D">
              <w:t xml:space="preserve">ctively </w:t>
            </w:r>
          </w:p>
        </w:tc>
      </w:tr>
    </w:tbl>
    <w:p w:rsidR="00000000" w:rsidRPr="0073703D" w:rsidRDefault="006F435C" w:rsidP="0073703D">
      <w:pPr>
        <w:pStyle w:val="BodyText"/>
      </w:pPr>
    </w:p>
    <w:p w:rsidR="00000000" w:rsidRPr="0073703D" w:rsidRDefault="006F435C" w:rsidP="0073703D">
      <w:pPr>
        <w:pStyle w:val="AllowPageBreak"/>
      </w:pPr>
    </w:p>
    <w:p w:rsidR="00000000" w:rsidRPr="0073703D" w:rsidRDefault="006F435C" w:rsidP="0073703D">
      <w:pPr>
        <w:pStyle w:val="Heading1"/>
      </w:pPr>
      <w:bookmarkStart w:id="10" w:name="O_475776"/>
      <w:bookmarkEnd w:id="10"/>
      <w:r w:rsidRPr="0073703D">
        <w:lastRenderedPageBreak/>
        <w:t>Evidence Guide</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73703D" w:rsidTr="006F435C">
        <w:trPr>
          <w:tblHeader/>
        </w:trPr>
        <w:tc>
          <w:tcPr>
            <w:tcW w:w="84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EVIDENCE GUIDE</w:t>
            </w:r>
          </w:p>
        </w:tc>
      </w:tr>
      <w:tr w:rsidR="00000000" w:rsidRPr="0073703D" w:rsidTr="006F435C">
        <w:tc>
          <w:tcPr>
            <w:tcW w:w="846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9)</w:t>
            </w:r>
            <w:r w:rsidRPr="0073703D">
              <w:t xml:space="preserve"> This provides essential advice for assessment of the competency standard unit and must be read </w:t>
            </w:r>
            <w:r w:rsidRPr="0073703D">
              <w:t>in conjunction with the Performance Criteria and the Range Statement of the unit and the Training Package Assessment Guidelines.</w:t>
            </w:r>
          </w:p>
          <w:p w:rsidR="00000000" w:rsidRPr="0073703D" w:rsidRDefault="006F435C" w:rsidP="0073703D">
            <w:pPr>
              <w:pStyle w:val="BodyText"/>
            </w:pPr>
            <w:r w:rsidRPr="0073703D">
              <w:t>The Evidence Guide forms an integral part of this competency standard unit and shall be used in conjunction with all components</w:t>
            </w:r>
            <w:r w:rsidRPr="0073703D">
              <w:t xml:space="preserve"> parts of this unit and, performed in accordance with the Assessment Guidelines of this Training Package.</w:t>
            </w:r>
          </w:p>
        </w:tc>
      </w:tr>
    </w:tbl>
    <w:p w:rsidR="00000000" w:rsidRPr="0073703D" w:rsidRDefault="006F435C" w:rsidP="0073703D">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6F435C">
        <w:tc>
          <w:tcPr>
            <w:tcW w:w="189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Overview of Assessment</w:t>
            </w:r>
          </w:p>
        </w:tc>
        <w:tc>
          <w:tcPr>
            <w:tcW w:w="657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9.1)</w:t>
            </w:r>
          </w:p>
        </w:tc>
      </w:tr>
      <w:tr w:rsidR="00000000" w:rsidRPr="0073703D" w:rsidTr="006F435C">
        <w:tc>
          <w:tcPr>
            <w:tcW w:w="189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Longitude competency development approaches to assessment, such as Profiling, require data to be reliably gathered in a form that can be consistently interpreted over time. This approach is best utilised in Apprenticeship programs and reduces assessment in</w:t>
            </w:r>
            <w:r w:rsidRPr="0073703D">
              <w:t>tervention. It is the Industry preferred model for apprenticeships. However, where summative (or final) assessment is used it is to include the application of the competency in the normal work environment or, at a minimum, the application of the competency</w:t>
            </w:r>
            <w:r w:rsidRPr="0073703D">
              <w:t xml:space="preserve"> in a realistically simulated work environment. It is recognised that, in some circumstances, assessment in part or full can occur outside the workplace. However, it must be in accord with Industry and regulatory policy.</w:t>
            </w:r>
          </w:p>
          <w:p w:rsidR="00000000" w:rsidRPr="0073703D" w:rsidRDefault="006F435C" w:rsidP="0073703D">
            <w:pPr>
              <w:pStyle w:val="BodyText"/>
            </w:pPr>
            <w:r w:rsidRPr="0073703D">
              <w:t>Methods chosen for a particular ass</w:t>
            </w:r>
            <w:r w:rsidRPr="0073703D">
              <w:t>essment will be influenced by various factors. These include the extent of the assessment, the most effective locations for the assessment activities to take place, access to physical resources, additional safety measures that may be required and the criti</w:t>
            </w:r>
            <w:r w:rsidRPr="0073703D">
              <w:t>cal nature of the competencies being assessed.</w:t>
            </w:r>
          </w:p>
          <w:p w:rsidR="00000000" w:rsidRPr="0073703D" w:rsidRDefault="006F435C" w:rsidP="0073703D">
            <w:pPr>
              <w:pStyle w:val="BodyText"/>
            </w:pPr>
            <w:r w:rsidRPr="0073703D">
              <w:t>The critical safety nature of working with electricity, electrical equipment, gas or any other hazardous substance/material carries risk in deeming a person competent. Hence, sources of evidence need to be ‘ri</w:t>
            </w:r>
            <w:r w:rsidRPr="0073703D">
              <w:t>ch’ in nature so as to minimise error in judgment.</w:t>
            </w:r>
          </w:p>
          <w:p w:rsidR="00000000" w:rsidRPr="0073703D" w:rsidRDefault="006F435C" w:rsidP="0073703D">
            <w:pPr>
              <w:pStyle w:val="BodyText"/>
            </w:pPr>
            <w:r w:rsidRPr="0073703D">
              <w:t xml:space="preserve">Activities associated with normal every day work have a bearing on the decision as to how much and how detailed the data gathered will contribute to its ‘richness’. Some skills are more critical to safety </w:t>
            </w:r>
            <w:r w:rsidRPr="0073703D">
              <w:t>and operational requirements while the same skills may be more or less frequently practised. These points are raised for the assessors to consider when choosing an assessment method and developing assessment instruments. Sample assessment instruments are i</w:t>
            </w:r>
            <w:r w:rsidRPr="0073703D">
              <w:t>ncluded in the Assessment Guidelines of this Training Package.</w:t>
            </w:r>
          </w:p>
        </w:tc>
      </w:tr>
    </w:tbl>
    <w:p w:rsidR="00000000" w:rsidRPr="0073703D" w:rsidRDefault="006F435C" w:rsidP="0073703D">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6F435C">
        <w:tc>
          <w:tcPr>
            <w:tcW w:w="189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Critical aspects of evidence required to demonstrate competency in this unit</w:t>
            </w:r>
          </w:p>
        </w:tc>
        <w:tc>
          <w:tcPr>
            <w:tcW w:w="657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9.2)</w:t>
            </w:r>
          </w:p>
        </w:tc>
      </w:tr>
      <w:tr w:rsidR="00000000" w:rsidRPr="0073703D" w:rsidTr="006F435C">
        <w:tc>
          <w:tcPr>
            <w:tcW w:w="189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Before the critical aspects of evidence are considered all pre-requisites shall be met.</w:t>
            </w:r>
          </w:p>
          <w:p w:rsidR="00000000" w:rsidRPr="0073703D" w:rsidRDefault="006F435C" w:rsidP="0073703D">
            <w:pPr>
              <w:pStyle w:val="BodyText"/>
            </w:pPr>
            <w:r w:rsidRPr="0073703D">
              <w:t>Evidence for compet</w:t>
            </w:r>
            <w:r w:rsidRPr="0073703D">
              <w:t>ence in this unit shall be considered holistically.  Each element and associated Performance Criteria shall be demonstrated on at least two occasions in accordance with the “Assessment Guidelines – UEP12”.  Evidence shall also comprise:</w:t>
            </w:r>
          </w:p>
          <w:p w:rsidR="00000000" w:rsidRPr="0073703D" w:rsidRDefault="006F435C" w:rsidP="0073703D">
            <w:pPr>
              <w:pStyle w:val="ListBullet"/>
            </w:pPr>
            <w:r w:rsidRPr="0073703D">
              <w:t>A representative b</w:t>
            </w:r>
            <w:r w:rsidRPr="0073703D">
              <w:t>ody of work performance demonstrated within the timeframes typically expected of the discipline, work function and industrial environment. In particular this shall incorporate evidence that shows a candidate is able to:</w:t>
            </w:r>
          </w:p>
          <w:p w:rsidR="00000000" w:rsidRPr="0073703D" w:rsidRDefault="006F435C" w:rsidP="0073703D">
            <w:pPr>
              <w:pStyle w:val="ListBullet2"/>
            </w:pPr>
            <w:r w:rsidRPr="0073703D">
              <w:t>Implement Occupation</w:t>
            </w:r>
            <w:r w:rsidRPr="0073703D">
              <w:t>al Health and Safety workplace procedures and practices including the use of risk control measures as specified in the Performance Criteria and Range Statement</w:t>
            </w:r>
          </w:p>
          <w:p w:rsidR="00000000" w:rsidRPr="0073703D" w:rsidRDefault="006F435C" w:rsidP="0073703D">
            <w:pPr>
              <w:pStyle w:val="ListBullet2"/>
            </w:pPr>
            <w:r w:rsidRPr="0073703D">
              <w:t>Apply sustainable energy principles and practices as specified in the Performance Criteria and R</w:t>
            </w:r>
            <w:r w:rsidRPr="0073703D">
              <w:t>ange Statement</w:t>
            </w:r>
          </w:p>
          <w:p w:rsidR="00000000" w:rsidRPr="0073703D" w:rsidRDefault="006F435C" w:rsidP="0073703D">
            <w:pPr>
              <w:pStyle w:val="ListBullet2"/>
            </w:pPr>
            <w:r w:rsidRPr="0073703D">
              <w:t>Demonstrate an understanding of the essential knowledge and associated skills as described in 6) Essential Knowledge and Associated Skills of this unit</w:t>
            </w:r>
          </w:p>
          <w:p w:rsidR="00000000" w:rsidRPr="0073703D" w:rsidRDefault="006F435C" w:rsidP="0073703D">
            <w:pPr>
              <w:pStyle w:val="ListBullet2"/>
            </w:pPr>
            <w:r w:rsidRPr="0073703D">
              <w:t>Demonstrate an appropriate level of employability skills</w:t>
            </w:r>
          </w:p>
          <w:p w:rsidR="00000000" w:rsidRPr="0073703D" w:rsidRDefault="006F435C" w:rsidP="0073703D">
            <w:pPr>
              <w:pStyle w:val="ListBullet2"/>
            </w:pPr>
            <w:r w:rsidRPr="0073703D">
              <w:t>Conduct work observing the relev</w:t>
            </w:r>
            <w:r w:rsidRPr="0073703D">
              <w:t>ant Anti-Discrimination legislation, regulations, polices and workplace procedure</w:t>
            </w:r>
          </w:p>
          <w:p w:rsidR="00000000" w:rsidRPr="0073703D" w:rsidRDefault="006F435C" w:rsidP="0073703D">
            <w:pPr>
              <w:pStyle w:val="ListBullet"/>
            </w:pPr>
            <w:r w:rsidRPr="0073703D">
              <w:t>Demonstrated performance across a representative range of contexts from the prescribed items below:</w:t>
            </w:r>
          </w:p>
          <w:p w:rsidR="00000000" w:rsidRPr="0073703D" w:rsidRDefault="006F435C" w:rsidP="0073703D">
            <w:pPr>
              <w:pStyle w:val="ListBullet2"/>
            </w:pPr>
            <w:r w:rsidRPr="0073703D">
              <w:t>The knowledge and application of relevant sections of: Occupational Heal</w:t>
            </w:r>
            <w:r w:rsidRPr="0073703D">
              <w:t>th and Safety legislation; Statutory legislation; Enterprise/site safety procedures; Enterprise/site emergency procedures, permit to work system procedures</w:t>
            </w:r>
          </w:p>
          <w:p w:rsidR="00000000" w:rsidRPr="0073703D" w:rsidRDefault="006F435C" w:rsidP="0073703D">
            <w:pPr>
              <w:pStyle w:val="ListBullet2"/>
            </w:pPr>
            <w:r w:rsidRPr="0073703D">
              <w:t xml:space="preserve">Dealing with an unplanned event by drawing on essential knowledge and skills to provide appropriate </w:t>
            </w:r>
            <w:r w:rsidRPr="0073703D">
              <w:t>solutions incorporated in the holistic assessment with the above listed items.</w:t>
            </w:r>
          </w:p>
        </w:tc>
      </w:tr>
    </w:tbl>
    <w:p w:rsidR="00000000" w:rsidRPr="0073703D" w:rsidRDefault="006F435C" w:rsidP="0073703D">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6F435C">
        <w:trPr>
          <w:trHeight w:val="798"/>
        </w:trPr>
        <w:tc>
          <w:tcPr>
            <w:tcW w:w="189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Context of and specific resources for assessment</w:t>
            </w:r>
          </w:p>
        </w:tc>
        <w:tc>
          <w:tcPr>
            <w:tcW w:w="657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9.3)</w:t>
            </w:r>
          </w:p>
        </w:tc>
      </w:tr>
      <w:tr w:rsidR="00000000" w:rsidRPr="0073703D" w:rsidTr="006F435C">
        <w:trPr>
          <w:trHeight w:val="4374"/>
        </w:trPr>
        <w:tc>
          <w:tcPr>
            <w:tcW w:w="189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This unit should be assessed as it relates to normal work practice using procedures, information and resources typical of a workplace. This should include:</w:t>
            </w:r>
          </w:p>
          <w:p w:rsidR="00000000" w:rsidRPr="0073703D" w:rsidRDefault="006F435C" w:rsidP="0073703D">
            <w:pPr>
              <w:pStyle w:val="ListBullet"/>
            </w:pPr>
            <w:r w:rsidRPr="0073703D">
              <w:t>OHS policy and work procedures and instructions.</w:t>
            </w:r>
          </w:p>
          <w:p w:rsidR="00000000" w:rsidRPr="0073703D" w:rsidRDefault="006F435C" w:rsidP="0073703D">
            <w:pPr>
              <w:pStyle w:val="ListBullet"/>
            </w:pPr>
            <w:r w:rsidRPr="0073703D">
              <w:t>Suitable work environment, facilities, equipment a</w:t>
            </w:r>
            <w:r w:rsidRPr="0073703D">
              <w:t>nd materials to undertake actual work as prescribed by this unit.</w:t>
            </w:r>
          </w:p>
          <w:p w:rsidR="00000000" w:rsidRPr="0073703D" w:rsidRDefault="006F435C" w:rsidP="0073703D">
            <w:pPr>
              <w:pStyle w:val="BodyText"/>
            </w:pPr>
            <w:r w:rsidRPr="0073703D">
              <w:t>Competency Standards should be assessed in the workplace or simulated workplace and under the normal range of workplace conditions.</w:t>
            </w:r>
          </w:p>
          <w:p w:rsidR="00000000" w:rsidRPr="0073703D" w:rsidRDefault="006F435C" w:rsidP="0073703D">
            <w:pPr>
              <w:pStyle w:val="BodyText"/>
            </w:pPr>
            <w:r w:rsidRPr="0073703D">
              <w:t>Assessment of this unit will be supported with documentary evidence, by means of endorsement stating type and application of work.</w:t>
            </w:r>
          </w:p>
          <w:p w:rsidR="00000000" w:rsidRPr="0073703D" w:rsidRDefault="006F435C" w:rsidP="0073703D">
            <w:pPr>
              <w:pStyle w:val="BodyText"/>
            </w:pPr>
            <w:r w:rsidRPr="0073703D">
              <w:t>In addition to the resources listed above in Context of assessment’, evidence should show competency working in limited space</w:t>
            </w:r>
            <w:r w:rsidRPr="0073703D">
              <w:t>s with different types of plant and equipment as well as different structural/construction types and methods and in a variety of environments.</w:t>
            </w:r>
          </w:p>
        </w:tc>
      </w:tr>
    </w:tbl>
    <w:p w:rsidR="00000000" w:rsidRPr="0073703D" w:rsidRDefault="006F435C" w:rsidP="0073703D">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6F435C">
        <w:tc>
          <w:tcPr>
            <w:tcW w:w="189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Method of assessment</w:t>
            </w:r>
          </w:p>
        </w:tc>
        <w:tc>
          <w:tcPr>
            <w:tcW w:w="657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9.4)</w:t>
            </w:r>
          </w:p>
        </w:tc>
      </w:tr>
      <w:tr w:rsidR="00000000" w:rsidRPr="0073703D" w:rsidTr="006F435C">
        <w:tc>
          <w:tcPr>
            <w:tcW w:w="189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This unit shall be assessed by methods given in Section 1.3.00 Assessment Guidelines.</w:t>
            </w:r>
          </w:p>
          <w:p w:rsidR="00000000" w:rsidRPr="0073703D" w:rsidRDefault="006F435C" w:rsidP="0073703D">
            <w:pPr>
              <w:pStyle w:val="BodyText"/>
            </w:pPr>
            <w:r w:rsidRPr="0073703D">
              <w:t xml:space="preserve">Note: </w:t>
            </w:r>
          </w:p>
          <w:p w:rsidR="00000000" w:rsidRPr="0073703D" w:rsidRDefault="006F435C" w:rsidP="0073703D">
            <w:pPr>
              <w:pStyle w:val="BodyText"/>
            </w:pPr>
            <w:r w:rsidRPr="0073703D">
              <w:t>Competent performance with inherent safe working practices is expected in the Industry to which this unit applies. This requires that the specified essential knowl</w:t>
            </w:r>
            <w:r w:rsidRPr="0073703D">
              <w:t>edge and associated skills are assessed in a structured environment which is primarily intended for learning/assessment and incorporates all necessary equipment and facilities for learners to develop and demonstrate the essential knowledge and skills descr</w:t>
            </w:r>
            <w:r w:rsidRPr="0073703D">
              <w:t>ibed in this unit.</w:t>
            </w:r>
          </w:p>
        </w:tc>
      </w:tr>
    </w:tbl>
    <w:p w:rsidR="00000000" w:rsidRPr="0073703D" w:rsidRDefault="006F435C" w:rsidP="0073703D">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6F435C">
        <w:tc>
          <w:tcPr>
            <w:tcW w:w="189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Concurrent assessment and relationship with other units</w:t>
            </w:r>
          </w:p>
        </w:tc>
        <w:tc>
          <w:tcPr>
            <w:tcW w:w="657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9.5)</w:t>
            </w:r>
          </w:p>
        </w:tc>
      </w:tr>
      <w:tr w:rsidR="00000000" w:rsidRPr="0073703D" w:rsidTr="006F435C">
        <w:tc>
          <w:tcPr>
            <w:tcW w:w="189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There are no recommended concurrent assessments with this unit, however in some cases efficiencies may be gained in terms of learning and assessment effort being concurrent</w:t>
            </w:r>
            <w:r w:rsidRPr="0073703D">
              <w:t>ly managed with allied competency standard units where listed.</w:t>
            </w:r>
          </w:p>
          <w:p w:rsidR="00000000" w:rsidRPr="0073703D" w:rsidRDefault="006F435C" w:rsidP="0073703D">
            <w:pPr>
              <w:pStyle w:val="BodyText"/>
            </w:pPr>
            <w:r w:rsidRPr="0073703D">
              <w:t>Nil</w:t>
            </w:r>
            <w:r w:rsidRPr="0073703D">
              <w:tab/>
            </w:r>
          </w:p>
        </w:tc>
      </w:tr>
    </w:tbl>
    <w:p w:rsidR="00000000" w:rsidRPr="0073703D" w:rsidRDefault="006F435C" w:rsidP="0073703D">
      <w:pPr>
        <w:pStyle w:val="BodyText"/>
      </w:pPr>
    </w:p>
    <w:p w:rsidR="00000000" w:rsidRPr="0073703D" w:rsidRDefault="006F435C" w:rsidP="0073703D">
      <w:pPr>
        <w:pStyle w:val="AllowPageBreak"/>
      </w:pPr>
    </w:p>
    <w:p w:rsidR="00000000" w:rsidRPr="0073703D" w:rsidRDefault="006F435C" w:rsidP="0073703D">
      <w:pPr>
        <w:pStyle w:val="Heading1"/>
      </w:pPr>
      <w:bookmarkStart w:id="11" w:name="O_475780"/>
      <w:bookmarkEnd w:id="11"/>
      <w:r w:rsidRPr="0073703D">
        <w:t>Range Statement</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73703D" w:rsidTr="006F435C">
        <w:trPr>
          <w:tblHeader/>
        </w:trPr>
        <w:tc>
          <w:tcPr>
            <w:tcW w:w="84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RANGE STATEMENT</w:t>
            </w:r>
          </w:p>
        </w:tc>
      </w:tr>
      <w:tr w:rsidR="00000000" w:rsidRPr="0073703D" w:rsidTr="006F435C">
        <w:tc>
          <w:tcPr>
            <w:tcW w:w="846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10)</w:t>
            </w:r>
            <w:r w:rsidRPr="0073703D">
              <w:t xml:space="preserve"> This relates to the competency standard unit as a whole, providing the range of contexts and conditions to which the Performance Cr</w:t>
            </w:r>
            <w:r w:rsidRPr="0073703D">
              <w:t>iteria apply. It allows for different work environments and situations that will affect performance.</w:t>
            </w:r>
          </w:p>
          <w:p w:rsidR="00000000" w:rsidRPr="0073703D" w:rsidRDefault="006F435C" w:rsidP="0073703D">
            <w:pPr>
              <w:pStyle w:val="BodyText"/>
            </w:pPr>
            <w:r w:rsidRPr="0073703D">
              <w:t>Permits may refer to Maintenance Access Permits, Electrical Access Permits, Mechanical Permits, Testing Permits, Restricted use Permits, Out of Service Dec</w:t>
            </w:r>
            <w:r w:rsidRPr="0073703D">
              <w:t>larations, Confined Space Entry Permits, Decommissioning/Recommissioning Statements and associated request forms.</w:t>
            </w:r>
          </w:p>
          <w:p w:rsidR="00000000" w:rsidRPr="0073703D" w:rsidRDefault="006F435C" w:rsidP="0073703D">
            <w:pPr>
              <w:pStyle w:val="BodyText"/>
            </w:pPr>
            <w:r w:rsidRPr="0073703D">
              <w:t xml:space="preserve"> Appropriate personnel may include project engineers and leaders, maintenance personnel, operations personnel, internal and external specialis</w:t>
            </w:r>
            <w:r w:rsidRPr="0073703D">
              <w:t>t services personnel, line management, contractors and standing permit to work and/or safety committees.</w:t>
            </w:r>
          </w:p>
          <w:p w:rsidR="00000000" w:rsidRPr="0073703D" w:rsidRDefault="006F435C" w:rsidP="0073703D">
            <w:pPr>
              <w:pStyle w:val="BodyText"/>
            </w:pPr>
            <w:r w:rsidRPr="0073703D">
              <w:t>Documentation may include Occupational Health and Safety and environmental legislation, industry standards, enterprise safety and/or permit to work rul</w:t>
            </w:r>
            <w:r w:rsidRPr="0073703D">
              <w:t>es, enterprise and site procedures, enterprise permit to work documentation/form(s), and computer based software packages.</w:t>
            </w:r>
          </w:p>
          <w:p w:rsidR="00000000" w:rsidRPr="0073703D" w:rsidRDefault="006F435C" w:rsidP="0073703D">
            <w:pPr>
              <w:pStyle w:val="BodyText"/>
            </w:pPr>
            <w:r w:rsidRPr="0073703D">
              <w:t>Resources may include approved documentation/form(s), manpower, isolation equipment (locking devices, signs etc.) and computers.</w:t>
            </w:r>
          </w:p>
          <w:p w:rsidR="00000000" w:rsidRPr="0073703D" w:rsidRDefault="006F435C" w:rsidP="0073703D">
            <w:pPr>
              <w:pStyle w:val="BodyText"/>
            </w:pPr>
            <w:r w:rsidRPr="0073703D">
              <w:t>Perm</w:t>
            </w:r>
            <w:r w:rsidRPr="0073703D">
              <w:t>it to work may include any approved documentation/form(s) controlled by the safety rules or permit to work procedures of the enterprise.</w:t>
            </w:r>
          </w:p>
          <w:p w:rsidR="00000000" w:rsidRPr="0073703D" w:rsidRDefault="006F435C" w:rsidP="0073703D">
            <w:pPr>
              <w:pStyle w:val="BodyText"/>
            </w:pPr>
            <w:r w:rsidRPr="0073703D">
              <w:t>Incidents may refer to permit to work system breaches.</w:t>
            </w:r>
          </w:p>
          <w:p w:rsidR="00000000" w:rsidRPr="0073703D" w:rsidRDefault="006F435C" w:rsidP="0073703D">
            <w:pPr>
              <w:pStyle w:val="BodyText"/>
            </w:pPr>
            <w:r w:rsidRPr="0073703D">
              <w:t>Generic terms are used throughout this Training Package for voca</w:t>
            </w:r>
            <w:r w:rsidRPr="0073703D">
              <w:t>tional standard shall be regarded as part of the Range Statement in which competency is demonstrated. The definition of these and other terms are given in Section 2.1 Preliminary Information and Glossaries.</w:t>
            </w:r>
          </w:p>
        </w:tc>
      </w:tr>
    </w:tbl>
    <w:p w:rsidR="00000000" w:rsidRPr="0073703D" w:rsidRDefault="006F435C" w:rsidP="0073703D">
      <w:pPr>
        <w:pStyle w:val="BodyText"/>
      </w:pPr>
    </w:p>
    <w:p w:rsidR="00000000" w:rsidRPr="0073703D" w:rsidRDefault="006F435C" w:rsidP="0073703D">
      <w:pPr>
        <w:pStyle w:val="AllowPageBreak"/>
      </w:pPr>
    </w:p>
    <w:p w:rsidR="00000000" w:rsidRPr="0073703D" w:rsidRDefault="006F435C" w:rsidP="0073703D">
      <w:pPr>
        <w:pStyle w:val="Heading1"/>
      </w:pPr>
      <w:bookmarkStart w:id="12" w:name="O_475783"/>
      <w:bookmarkEnd w:id="12"/>
      <w:r w:rsidRPr="0073703D">
        <w:lastRenderedPageBreak/>
        <w:t>Unit Sector(s)</w:t>
      </w:r>
    </w:p>
    <w:p w:rsidR="00000000" w:rsidRPr="0073703D" w:rsidRDefault="006F435C" w:rsidP="0073703D">
      <w:pPr>
        <w:pStyle w:val="BodyText"/>
      </w:pPr>
      <w:r w:rsidRPr="0073703D">
        <w:t>Not applicable.</w:t>
      </w:r>
    </w:p>
    <w:p w:rsidR="00000000" w:rsidRPr="0073703D" w:rsidRDefault="006F435C" w:rsidP="0073703D">
      <w:pPr>
        <w:pStyle w:val="AllowPageBreak"/>
      </w:pPr>
    </w:p>
    <w:p w:rsidR="00000000" w:rsidRPr="0073703D" w:rsidRDefault="006F435C" w:rsidP="0073703D">
      <w:pPr>
        <w:pStyle w:val="Heading1"/>
      </w:pPr>
      <w:bookmarkStart w:id="13" w:name="O_475772"/>
      <w:bookmarkEnd w:id="13"/>
      <w:r w:rsidRPr="0073703D">
        <w:t>Competency Field</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6F435C">
        <w:trPr>
          <w:tblHeader/>
        </w:trPr>
        <w:tc>
          <w:tcPr>
            <w:tcW w:w="270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rPr>
                <w:rStyle w:val="SpecialBold"/>
              </w:rPr>
              <w:t>Competency Field</w:t>
            </w:r>
          </w:p>
        </w:tc>
        <w:tc>
          <w:tcPr>
            <w:tcW w:w="5760" w:type="dxa"/>
            <w:tcBorders>
              <w:top w:val="nil"/>
              <w:left w:val="nil"/>
              <w:bottom w:val="nil"/>
              <w:right w:val="nil"/>
            </w:tcBorders>
            <w:tcMar>
              <w:top w:w="0" w:type="dxa"/>
              <w:left w:w="62" w:type="dxa"/>
              <w:bottom w:w="0" w:type="dxa"/>
              <w:right w:w="62" w:type="dxa"/>
            </w:tcMar>
          </w:tcPr>
          <w:p w:rsidR="00000000" w:rsidRDefault="006F435C" w:rsidP="0073703D">
            <w:pPr>
              <w:pStyle w:val="BodyText"/>
              <w:rPr>
                <w:lang w:val="en-NZ"/>
              </w:rPr>
            </w:pPr>
            <w:r w:rsidRPr="0073703D">
              <w:rPr>
                <w:rStyle w:val="SpecialBold"/>
              </w:rPr>
              <w:t xml:space="preserve">11) </w:t>
            </w:r>
          </w:p>
        </w:tc>
      </w:tr>
      <w:tr w:rsidR="00000000" w:rsidRPr="0073703D" w:rsidTr="006F435C">
        <w:tc>
          <w:tcPr>
            <w:tcW w:w="2700" w:type="dxa"/>
            <w:tcBorders>
              <w:top w:val="nil"/>
              <w:left w:val="nil"/>
              <w:bottom w:val="nil"/>
              <w:right w:val="nil"/>
            </w:tcBorders>
            <w:tcMar>
              <w:top w:w="0" w:type="dxa"/>
              <w:left w:w="62" w:type="dxa"/>
              <w:bottom w:w="0" w:type="dxa"/>
              <w:right w:w="62" w:type="dxa"/>
            </w:tcMar>
          </w:tcPr>
          <w:p w:rsidR="00000000" w:rsidRDefault="006F435C">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73703D" w:rsidRDefault="006F435C" w:rsidP="0073703D">
            <w:pPr>
              <w:pStyle w:val="BodyText"/>
            </w:pPr>
            <w:r w:rsidRPr="0073703D">
              <w:t>Operations</w:t>
            </w:r>
          </w:p>
        </w:tc>
      </w:tr>
    </w:tbl>
    <w:p w:rsidR="00000000" w:rsidRPr="0073703D" w:rsidRDefault="006F435C" w:rsidP="0073703D">
      <w:pPr>
        <w:pStyle w:val="BodyText"/>
      </w:pPr>
    </w:p>
    <w:p w:rsidR="00000000" w:rsidRPr="0073703D" w:rsidRDefault="006F435C" w:rsidP="0073703D"/>
    <w:sectPr w:rsidR="00000000" w:rsidRPr="0073703D" w:rsidSect="0073703D">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435C">
      <w:r>
        <w:separator/>
      </w:r>
    </w:p>
  </w:endnote>
  <w:endnote w:type="continuationSeparator" w:id="0">
    <w:p w:rsidR="00000000" w:rsidRDefault="006F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3D" w:rsidRDefault="0073703D">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6F435C" w:rsidRDefault="006F435C" w:rsidP="006F435C">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3D" w:rsidRDefault="0073703D">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C" w:rsidRDefault="006F435C" w:rsidP="0073703D">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10</w:t>
      </w:r>
    </w:fldSimple>
  </w:p>
  <w:p w:rsidR="006F435C" w:rsidRDefault="006F435C" w:rsidP="0073703D">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EE-Oz Training Standards</w:t>
      </w:r>
    </w:fldSimple>
  </w:p>
  <w:p w:rsidR="006F435C" w:rsidRDefault="006F435C" w:rsidP="0073703D">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435C">
      <w:r>
        <w:separator/>
      </w:r>
    </w:p>
  </w:footnote>
  <w:footnote w:type="continuationSeparator" w:id="0">
    <w:p w:rsidR="00000000" w:rsidRDefault="006F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3D" w:rsidRDefault="0073703D">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3D" w:rsidRPr="006F435C" w:rsidRDefault="006F435C" w:rsidP="006F435C">
    <w:pPr>
      <w:pStyle w:val="BodyText"/>
    </w:pPr>
    <w:r>
      <w:rPr>
        <w:noProof/>
        <w:lang w:eastAsia="en-AU"/>
      </w:rPr>
      <w:drawing>
        <wp:anchor distT="0" distB="0" distL="114300" distR="114300" simplePos="0" relativeHeight="251659264" behindDoc="1" locked="0" layoutInCell="1" allowOverlap="1" wp14:anchorId="4A60213F" wp14:editId="64E83F2F">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3D" w:rsidRDefault="0073703D">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C" w:rsidRPr="002D2AF8" w:rsidRDefault="006F435C" w:rsidP="0073703D">
    <w:pPr>
      <w:pStyle w:val="Header"/>
      <w:framePr w:wrap="around"/>
    </w:pPr>
    <w:fldSimple w:instr=" TITLE   \* MERGEFORMAT ">
      <w:r>
        <w:t>UEPOPS430B Control permit to work operations</w:t>
      </w:r>
    </w:fldSimple>
    <w:r>
      <w:tab/>
      <w:t xml:space="preserve">Date this document was generated: </w:t>
    </w:r>
    <w:r>
      <w:fldChar w:fldCharType="begin"/>
    </w:r>
    <w:r>
      <w:instrText xml:space="preserve"> CREATEDATE  \@ "d MMMM yyyy"  \* MERGEFORMAT </w:instrText>
    </w:r>
    <w:r>
      <w:fldChar w:fldCharType="separate"/>
    </w:r>
    <w:r>
      <w:rPr>
        <w:noProof/>
      </w:rPr>
      <w:t>26 July 2012</w:t>
    </w:r>
    <w:r>
      <w:fldChar w:fldCharType="end"/>
    </w:r>
  </w:p>
  <w:p w:rsidR="006F435C" w:rsidRDefault="006F435C" w:rsidP="0073703D">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4306C5D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E11A39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CDF6E74E"/>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3703D"/>
    <w:rsid w:val="006F435C"/>
    <w:rsid w:val="00737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3D"/>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73703D"/>
    <w:pPr>
      <w:spacing w:before="360" w:after="60"/>
      <w:outlineLvl w:val="0"/>
    </w:pPr>
    <w:rPr>
      <w:sz w:val="32"/>
    </w:rPr>
  </w:style>
  <w:style w:type="paragraph" w:styleId="Heading2">
    <w:name w:val="heading 2"/>
    <w:basedOn w:val="HeadingBase"/>
    <w:next w:val="BodyText"/>
    <w:link w:val="Heading2Char"/>
    <w:qFormat/>
    <w:rsid w:val="0073703D"/>
    <w:pPr>
      <w:keepLines/>
      <w:spacing w:before="240" w:after="120"/>
      <w:outlineLvl w:val="1"/>
    </w:pPr>
    <w:rPr>
      <w:sz w:val="28"/>
      <w:szCs w:val="40"/>
    </w:rPr>
  </w:style>
  <w:style w:type="paragraph" w:styleId="Heading3">
    <w:name w:val="heading 3"/>
    <w:basedOn w:val="HeadingBase"/>
    <w:next w:val="BodyText"/>
    <w:link w:val="Heading3Char"/>
    <w:qFormat/>
    <w:rsid w:val="0073703D"/>
    <w:pPr>
      <w:spacing w:before="180" w:after="120"/>
      <w:outlineLvl w:val="2"/>
    </w:pPr>
    <w:rPr>
      <w:spacing w:val="-10"/>
      <w:kern w:val="32"/>
    </w:rPr>
  </w:style>
  <w:style w:type="paragraph" w:styleId="Heading4">
    <w:name w:val="heading 4"/>
    <w:basedOn w:val="HeadingBase"/>
    <w:next w:val="BodyText"/>
    <w:link w:val="Heading4Char"/>
    <w:qFormat/>
    <w:rsid w:val="0073703D"/>
    <w:pPr>
      <w:spacing w:before="160" w:after="120"/>
      <w:outlineLvl w:val="3"/>
    </w:pPr>
    <w:rPr>
      <w:sz w:val="22"/>
    </w:rPr>
  </w:style>
  <w:style w:type="paragraph" w:styleId="Heading5">
    <w:name w:val="heading 5"/>
    <w:basedOn w:val="HeadingBase"/>
    <w:next w:val="Normal"/>
    <w:link w:val="Heading5Char"/>
    <w:qFormat/>
    <w:rsid w:val="0073703D"/>
    <w:pPr>
      <w:spacing w:before="80"/>
      <w:outlineLvl w:val="4"/>
    </w:pPr>
    <w:rPr>
      <w:color w:val="918585"/>
      <w:sz w:val="20"/>
    </w:rPr>
  </w:style>
  <w:style w:type="paragraph" w:styleId="Heading6">
    <w:name w:val="heading 6"/>
    <w:basedOn w:val="HeadingBase"/>
    <w:next w:val="Normal"/>
    <w:link w:val="Heading6Char"/>
    <w:qFormat/>
    <w:rsid w:val="0073703D"/>
    <w:pPr>
      <w:spacing w:before="60"/>
      <w:outlineLvl w:val="5"/>
    </w:pPr>
    <w:rPr>
      <w:color w:val="918585"/>
      <w:sz w:val="20"/>
    </w:rPr>
  </w:style>
  <w:style w:type="paragraph" w:styleId="Heading7">
    <w:name w:val="heading 7"/>
    <w:basedOn w:val="Normal"/>
    <w:next w:val="Normal"/>
    <w:link w:val="Heading7Char"/>
    <w:qFormat/>
    <w:rsid w:val="0073703D"/>
    <w:pPr>
      <w:ind w:left="720"/>
      <w:outlineLvl w:val="6"/>
    </w:pPr>
    <w:rPr>
      <w:i/>
    </w:rPr>
  </w:style>
  <w:style w:type="paragraph" w:styleId="Heading8">
    <w:name w:val="heading 8"/>
    <w:basedOn w:val="Normal"/>
    <w:next w:val="Normal"/>
    <w:link w:val="Heading8Char"/>
    <w:qFormat/>
    <w:rsid w:val="0073703D"/>
    <w:pPr>
      <w:ind w:left="720"/>
      <w:outlineLvl w:val="7"/>
    </w:pPr>
    <w:rPr>
      <w:i/>
    </w:rPr>
  </w:style>
  <w:style w:type="paragraph" w:styleId="Heading9">
    <w:name w:val="heading 9"/>
    <w:basedOn w:val="Normal"/>
    <w:next w:val="Normal"/>
    <w:link w:val="Heading9Char"/>
    <w:qFormat/>
    <w:rsid w:val="0073703D"/>
    <w:pPr>
      <w:ind w:left="720"/>
      <w:outlineLvl w:val="8"/>
    </w:pPr>
    <w:rPr>
      <w:i/>
    </w:rPr>
  </w:style>
  <w:style w:type="character" w:default="1" w:styleId="DefaultParagraphFont">
    <w:name w:val="Default Paragraph Font"/>
    <w:uiPriority w:val="1"/>
    <w:unhideWhenUsed/>
    <w:rsid w:val="007370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703D"/>
  </w:style>
  <w:style w:type="character" w:customStyle="1" w:styleId="Heading1Char">
    <w:name w:val="Heading 1 Char"/>
    <w:basedOn w:val="DefaultParagraphFont"/>
    <w:link w:val="Heading1"/>
    <w:rsid w:val="0073703D"/>
    <w:rPr>
      <w:rFonts w:ascii="Times New Roman" w:eastAsia="Times New Roman" w:hAnsi="Times New Roman" w:cs="Times New Roman"/>
      <w:b/>
      <w:sz w:val="32"/>
      <w:szCs w:val="20"/>
      <w:lang w:eastAsia="en-US"/>
    </w:rPr>
  </w:style>
  <w:style w:type="paragraph" w:styleId="BodyText">
    <w:name w:val="Body Text"/>
    <w:basedOn w:val="Normal"/>
    <w:link w:val="BodyTextChar"/>
    <w:rsid w:val="0073703D"/>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73703D"/>
    <w:rPr>
      <w:rFonts w:ascii="Times New Roman" w:eastAsia="Times New Roman" w:hAnsi="Times New Roman" w:cs="Times New Roman"/>
      <w:sz w:val="24"/>
      <w:lang w:eastAsia="en-US"/>
    </w:rPr>
  </w:style>
  <w:style w:type="paragraph" w:styleId="Footer">
    <w:name w:val="footer"/>
    <w:basedOn w:val="Normal"/>
    <w:link w:val="FooterChar"/>
    <w:rsid w:val="0073703D"/>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73703D"/>
    <w:rPr>
      <w:rFonts w:ascii="Times New Roman" w:eastAsia="Times New Roman" w:hAnsi="Times New Roman" w:cs="Times New Roman"/>
      <w:sz w:val="16"/>
      <w:lang w:eastAsia="en-US"/>
    </w:rPr>
  </w:style>
  <w:style w:type="paragraph" w:styleId="ListBullet">
    <w:name w:val="List Bullet"/>
    <w:basedOn w:val="List"/>
    <w:rsid w:val="0073703D"/>
    <w:pPr>
      <w:numPr>
        <w:numId w:val="13"/>
      </w:numPr>
      <w:tabs>
        <w:tab w:val="clear" w:pos="340"/>
      </w:tabs>
      <w:spacing w:before="40" w:after="40"/>
    </w:pPr>
  </w:style>
  <w:style w:type="character" w:customStyle="1" w:styleId="SpecialBold">
    <w:name w:val="Special Bold"/>
    <w:basedOn w:val="DefaultParagraphFont"/>
    <w:rsid w:val="0073703D"/>
    <w:rPr>
      <w:b/>
      <w:spacing w:val="0"/>
    </w:rPr>
  </w:style>
  <w:style w:type="paragraph" w:styleId="ListBullet2">
    <w:name w:val="List Bullet 2"/>
    <w:basedOn w:val="List2"/>
    <w:rsid w:val="0073703D"/>
    <w:pPr>
      <w:numPr>
        <w:numId w:val="14"/>
      </w:numPr>
      <w:tabs>
        <w:tab w:val="clear" w:pos="680"/>
      </w:tabs>
    </w:pPr>
  </w:style>
  <w:style w:type="paragraph" w:customStyle="1" w:styleId="SuperHeading">
    <w:name w:val="SuperHeading"/>
    <w:basedOn w:val="Normal"/>
    <w:rsid w:val="0073703D"/>
    <w:pPr>
      <w:spacing w:before="240" w:after="120"/>
      <w:outlineLvl w:val="0"/>
    </w:pPr>
    <w:rPr>
      <w:rFonts w:ascii="Times New Roman" w:hAnsi="Times New Roman"/>
      <w:b/>
      <w:sz w:val="28"/>
    </w:rPr>
  </w:style>
  <w:style w:type="paragraph" w:customStyle="1" w:styleId="AllowPageBreak">
    <w:name w:val="AllowPageBreak"/>
    <w:rsid w:val="0073703D"/>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73703D"/>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73703D"/>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73703D"/>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73703D"/>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73703D"/>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73703D"/>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73703D"/>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73703D"/>
    <w:rPr>
      <w:rFonts w:ascii="Courier New" w:eastAsia="Times New Roman" w:hAnsi="Courier New" w:cs="Times New Roman"/>
      <w:i/>
      <w:szCs w:val="20"/>
      <w:lang w:eastAsia="en-US"/>
    </w:rPr>
  </w:style>
  <w:style w:type="paragraph" w:customStyle="1" w:styleId="HeadingBase">
    <w:name w:val="Heading Base"/>
    <w:rsid w:val="0073703D"/>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73703D"/>
    <w:pPr>
      <w:tabs>
        <w:tab w:val="right" w:leader="dot" w:pos="9072"/>
      </w:tabs>
      <w:ind w:left="567"/>
    </w:pPr>
    <w:rPr>
      <w:szCs w:val="22"/>
    </w:rPr>
  </w:style>
  <w:style w:type="paragraph" w:customStyle="1" w:styleId="TOCBase">
    <w:name w:val="TOC Base"/>
    <w:rsid w:val="0073703D"/>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73703D"/>
    <w:pPr>
      <w:tabs>
        <w:tab w:val="right" w:leader="dot" w:pos="9072"/>
      </w:tabs>
      <w:spacing w:before="40" w:after="40"/>
      <w:ind w:left="284"/>
    </w:pPr>
    <w:rPr>
      <w:rFonts w:ascii="Times New Roman" w:hAnsi="Times New Roman"/>
    </w:rPr>
  </w:style>
  <w:style w:type="paragraph" w:styleId="TOC1">
    <w:name w:val="toc 1"/>
    <w:basedOn w:val="TOCBase"/>
    <w:next w:val="Normal"/>
    <w:rsid w:val="0073703D"/>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73703D"/>
    <w:pPr>
      <w:spacing w:before="5040"/>
      <w:jc w:val="center"/>
    </w:pPr>
    <w:rPr>
      <w:sz w:val="48"/>
      <w:szCs w:val="72"/>
      <w:lang w:val="en-US"/>
    </w:rPr>
  </w:style>
  <w:style w:type="character" w:customStyle="1" w:styleId="TitleChar">
    <w:name w:val="Title Char"/>
    <w:basedOn w:val="DefaultParagraphFont"/>
    <w:link w:val="Title"/>
    <w:rsid w:val="0073703D"/>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73703D"/>
    <w:pPr>
      <w:tabs>
        <w:tab w:val="left" w:pos="3600"/>
        <w:tab w:val="left" w:pos="3958"/>
      </w:tabs>
    </w:pPr>
  </w:style>
  <w:style w:type="paragraph" w:styleId="List">
    <w:name w:val="List"/>
    <w:basedOn w:val="BodyText"/>
    <w:next w:val="BodyText"/>
    <w:rsid w:val="0073703D"/>
    <w:pPr>
      <w:tabs>
        <w:tab w:val="left" w:pos="340"/>
      </w:tabs>
      <w:spacing w:before="60" w:after="60"/>
      <w:ind w:left="340" w:hanging="340"/>
    </w:pPr>
  </w:style>
  <w:style w:type="paragraph" w:customStyle="1" w:styleId="Note">
    <w:name w:val="Note"/>
    <w:basedOn w:val="BodyText"/>
    <w:rsid w:val="0073703D"/>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73703D"/>
    <w:pPr>
      <w:framePr w:wrap="auto" w:hAnchor="text" w:y="6049"/>
    </w:pPr>
    <w:rPr>
      <w:color w:val="000000"/>
      <w:sz w:val="40"/>
    </w:rPr>
  </w:style>
  <w:style w:type="paragraph" w:customStyle="1" w:styleId="TOCTitle">
    <w:name w:val="TOCTitle"/>
    <w:basedOn w:val="Heading1"/>
    <w:rsid w:val="0073703D"/>
    <w:pPr>
      <w:spacing w:after="240"/>
      <w:jc w:val="center"/>
      <w:outlineLvl w:val="9"/>
    </w:pPr>
    <w:rPr>
      <w:caps/>
    </w:rPr>
  </w:style>
  <w:style w:type="paragraph" w:customStyle="1" w:styleId="Version">
    <w:name w:val="Version"/>
    <w:rsid w:val="0073703D"/>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73703D"/>
    <w:pPr>
      <w:keepNext w:val="0"/>
      <w:tabs>
        <w:tab w:val="right" w:pos="4176"/>
      </w:tabs>
      <w:ind w:left="198" w:hanging="198"/>
    </w:pPr>
    <w:rPr>
      <w:rFonts w:ascii="Garamond" w:hAnsi="Garamond"/>
    </w:rPr>
  </w:style>
  <w:style w:type="paragraph" w:styleId="IndexHeading">
    <w:name w:val="index heading"/>
    <w:basedOn w:val="Normal"/>
    <w:next w:val="Index1"/>
    <w:semiHidden/>
    <w:rsid w:val="0073703D"/>
    <w:pPr>
      <w:spacing w:before="120" w:after="120"/>
    </w:pPr>
    <w:rPr>
      <w:rFonts w:ascii="Arial" w:hAnsi="Arial"/>
      <w:b/>
      <w:color w:val="918585"/>
      <w:sz w:val="24"/>
    </w:rPr>
  </w:style>
  <w:style w:type="paragraph" w:styleId="Header">
    <w:name w:val="header"/>
    <w:basedOn w:val="Normal"/>
    <w:link w:val="HeaderChar"/>
    <w:rsid w:val="0073703D"/>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73703D"/>
    <w:rPr>
      <w:rFonts w:ascii="Times New Roman" w:eastAsia="Times New Roman" w:hAnsi="Times New Roman" w:cs="Times New Roman"/>
      <w:sz w:val="16"/>
      <w:szCs w:val="20"/>
      <w:lang w:val="en-GB" w:eastAsia="en-US"/>
    </w:rPr>
  </w:style>
  <w:style w:type="paragraph" w:customStyle="1" w:styleId="Chapter">
    <w:name w:val="Chapter"/>
    <w:basedOn w:val="Normal"/>
    <w:rsid w:val="0073703D"/>
    <w:pPr>
      <w:spacing w:before="240"/>
    </w:pPr>
    <w:rPr>
      <w:rFonts w:ascii="Times New Roman" w:hAnsi="Times New Roman"/>
      <w:smallCaps/>
      <w:spacing w:val="80"/>
      <w:sz w:val="28"/>
    </w:rPr>
  </w:style>
  <w:style w:type="paragraph" w:customStyle="1" w:styleId="InChapter">
    <w:name w:val="InChapter"/>
    <w:basedOn w:val="Heading3"/>
    <w:rsid w:val="0073703D"/>
    <w:pPr>
      <w:spacing w:after="240"/>
      <w:outlineLvl w:val="9"/>
    </w:pPr>
    <w:rPr>
      <w:noProof/>
    </w:rPr>
  </w:style>
  <w:style w:type="paragraph" w:styleId="Index2">
    <w:name w:val="index 2"/>
    <w:basedOn w:val="Normal"/>
    <w:next w:val="Normal"/>
    <w:semiHidden/>
    <w:rsid w:val="0073703D"/>
    <w:pPr>
      <w:tabs>
        <w:tab w:val="right" w:pos="4176"/>
      </w:tabs>
      <w:ind w:left="568" w:hanging="284"/>
    </w:pPr>
    <w:rPr>
      <w:rFonts w:ascii="Garamond" w:hAnsi="Garamond"/>
    </w:rPr>
  </w:style>
  <w:style w:type="paragraph" w:customStyle="1" w:styleId="Byline">
    <w:name w:val="Byline"/>
    <w:rsid w:val="0073703D"/>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73703D"/>
    <w:pPr>
      <w:tabs>
        <w:tab w:val="clear" w:pos="3600"/>
        <w:tab w:val="clear" w:pos="3958"/>
      </w:tabs>
      <w:jc w:val="right"/>
    </w:pPr>
  </w:style>
  <w:style w:type="character" w:styleId="Emphasis">
    <w:name w:val="Emphasis"/>
    <w:basedOn w:val="DefaultParagraphFont"/>
    <w:qFormat/>
    <w:rsid w:val="0073703D"/>
    <w:rPr>
      <w:i/>
    </w:rPr>
  </w:style>
  <w:style w:type="paragraph" w:styleId="Caption">
    <w:name w:val="caption"/>
    <w:basedOn w:val="BodyText"/>
    <w:next w:val="Normal"/>
    <w:qFormat/>
    <w:rsid w:val="0073703D"/>
    <w:pPr>
      <w:framePr w:w="2268" w:hSpace="181" w:vSpace="181" w:wrap="around" w:vAnchor="text" w:hAnchor="page" w:x="1135" w:y="285" w:anchorLock="1"/>
    </w:pPr>
    <w:rPr>
      <w:i/>
    </w:rPr>
  </w:style>
  <w:style w:type="paragraph" w:customStyle="1" w:styleId="MiniTOCTitle">
    <w:name w:val="MiniTOCTitle"/>
    <w:basedOn w:val="Heading4"/>
    <w:rsid w:val="0073703D"/>
    <w:pPr>
      <w:spacing w:before="240"/>
      <w:outlineLvl w:val="9"/>
    </w:pPr>
    <w:rPr>
      <w:noProof/>
      <w:sz w:val="24"/>
    </w:rPr>
  </w:style>
  <w:style w:type="paragraph" w:customStyle="1" w:styleId="MiniTOCItem">
    <w:name w:val="MiniTOCItem"/>
    <w:basedOn w:val="ListBullet"/>
    <w:rsid w:val="0073703D"/>
    <w:pPr>
      <w:numPr>
        <w:numId w:val="0"/>
      </w:numPr>
      <w:tabs>
        <w:tab w:val="right" w:leader="dot" w:pos="6521"/>
      </w:tabs>
      <w:spacing w:before="0" w:after="0"/>
    </w:pPr>
  </w:style>
  <w:style w:type="paragraph" w:customStyle="1" w:styleId="TOFTitle">
    <w:name w:val="TOFTitle"/>
    <w:basedOn w:val="TOCTitle"/>
    <w:rsid w:val="0073703D"/>
  </w:style>
  <w:style w:type="paragraph" w:styleId="TableofFigures">
    <w:name w:val="table of figures"/>
    <w:basedOn w:val="Normal"/>
    <w:next w:val="Normal"/>
    <w:semiHidden/>
    <w:rsid w:val="0073703D"/>
    <w:pPr>
      <w:tabs>
        <w:tab w:val="right" w:leader="dot" w:pos="9072"/>
      </w:tabs>
      <w:ind w:left="970" w:hanging="403"/>
    </w:pPr>
    <w:rPr>
      <w:rFonts w:ascii="Times New Roman" w:hAnsi="Times New Roman"/>
      <w:b/>
    </w:rPr>
  </w:style>
  <w:style w:type="paragraph" w:styleId="ListNumber">
    <w:name w:val="List Number"/>
    <w:basedOn w:val="List"/>
    <w:rsid w:val="0073703D"/>
    <w:pPr>
      <w:numPr>
        <w:numId w:val="11"/>
      </w:numPr>
    </w:pPr>
  </w:style>
  <w:style w:type="character" w:customStyle="1" w:styleId="WingdingSymbols">
    <w:name w:val="Wingding Symbols"/>
    <w:rsid w:val="0073703D"/>
    <w:rPr>
      <w:rFonts w:ascii="Wingdings" w:hAnsi="Wingdings"/>
    </w:rPr>
  </w:style>
  <w:style w:type="paragraph" w:customStyle="1" w:styleId="TableHeading">
    <w:name w:val="Table Heading"/>
    <w:basedOn w:val="HeadingBase"/>
    <w:rsid w:val="0073703D"/>
    <w:pPr>
      <w:keepLines/>
      <w:pBdr>
        <w:bottom w:val="single" w:sz="6" w:space="1" w:color="918585"/>
      </w:pBdr>
      <w:spacing w:before="240"/>
    </w:pPr>
  </w:style>
  <w:style w:type="character" w:customStyle="1" w:styleId="HotSpot">
    <w:name w:val="HotSpot"/>
    <w:rsid w:val="0073703D"/>
    <w:rPr>
      <w:color w:val="0033CC"/>
      <w:u w:val="none"/>
    </w:rPr>
  </w:style>
  <w:style w:type="paragraph" w:customStyle="1" w:styleId="BodyTextRight">
    <w:name w:val="Body Text Right"/>
    <w:basedOn w:val="BodyText"/>
    <w:rsid w:val="0073703D"/>
    <w:pPr>
      <w:spacing w:before="0" w:after="0"/>
      <w:jc w:val="right"/>
    </w:pPr>
  </w:style>
  <w:style w:type="paragraph" w:styleId="Index3">
    <w:name w:val="index 3"/>
    <w:basedOn w:val="ListNumber2"/>
    <w:next w:val="Normal"/>
    <w:semiHidden/>
    <w:rsid w:val="0073703D"/>
    <w:pPr>
      <w:numPr>
        <w:numId w:val="0"/>
      </w:numPr>
      <w:tabs>
        <w:tab w:val="right" w:leader="dot" w:pos="4176"/>
      </w:tabs>
    </w:pPr>
  </w:style>
  <w:style w:type="paragraph" w:styleId="ListNumber2">
    <w:name w:val="List Number 2"/>
    <w:basedOn w:val="List2"/>
    <w:rsid w:val="0073703D"/>
    <w:pPr>
      <w:numPr>
        <w:numId w:val="10"/>
      </w:numPr>
      <w:tabs>
        <w:tab w:val="clear" w:pos="1060"/>
      </w:tabs>
    </w:pPr>
  </w:style>
  <w:style w:type="paragraph" w:customStyle="1" w:styleId="MarginNote">
    <w:name w:val="Margin Note"/>
    <w:basedOn w:val="BodyText"/>
    <w:rsid w:val="0073703D"/>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73703D"/>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73703D"/>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73703D"/>
    <w:rPr>
      <w:sz w:val="32"/>
    </w:rPr>
  </w:style>
  <w:style w:type="paragraph" w:customStyle="1" w:styleId="HeadingProcedure">
    <w:name w:val="Heading Procedure"/>
    <w:basedOn w:val="HeadingBase"/>
    <w:next w:val="Normal"/>
    <w:rsid w:val="0073703D"/>
    <w:pPr>
      <w:tabs>
        <w:tab w:val="left" w:pos="0"/>
      </w:tabs>
      <w:spacing w:before="120" w:after="60"/>
    </w:pPr>
    <w:rPr>
      <w:i/>
      <w:color w:val="918585"/>
      <w:sz w:val="22"/>
    </w:rPr>
  </w:style>
  <w:style w:type="paragraph" w:customStyle="1" w:styleId="TableBodyText">
    <w:name w:val="Table Body Text"/>
    <w:basedOn w:val="BodyText"/>
    <w:rsid w:val="0073703D"/>
    <w:pPr>
      <w:spacing w:before="60" w:after="60"/>
    </w:pPr>
  </w:style>
  <w:style w:type="paragraph" w:styleId="ListContinue">
    <w:name w:val="List Continue"/>
    <w:basedOn w:val="List"/>
    <w:rsid w:val="0073703D"/>
    <w:pPr>
      <w:ind w:firstLine="0"/>
    </w:pPr>
  </w:style>
  <w:style w:type="paragraph" w:customStyle="1" w:styleId="ListNote">
    <w:name w:val="List Note"/>
    <w:basedOn w:val="List"/>
    <w:rsid w:val="0073703D"/>
    <w:pPr>
      <w:pBdr>
        <w:top w:val="single" w:sz="6" w:space="2" w:color="918585"/>
        <w:bottom w:val="single" w:sz="6" w:space="2" w:color="918585"/>
      </w:pBdr>
      <w:tabs>
        <w:tab w:val="left" w:pos="1021"/>
      </w:tabs>
      <w:ind w:firstLine="0"/>
    </w:pPr>
  </w:style>
  <w:style w:type="paragraph" w:customStyle="1" w:styleId="Warning">
    <w:name w:val="Warning"/>
    <w:basedOn w:val="BodyText"/>
    <w:rsid w:val="0073703D"/>
    <w:pPr>
      <w:shd w:val="clear" w:color="auto" w:fill="D9D9D9"/>
      <w:tabs>
        <w:tab w:val="left" w:pos="992"/>
      </w:tabs>
      <w:ind w:left="119" w:right="119"/>
    </w:pPr>
    <w:rPr>
      <w:sz w:val="20"/>
    </w:rPr>
  </w:style>
  <w:style w:type="paragraph" w:customStyle="1" w:styleId="MarginIcons">
    <w:name w:val="Margin Icons"/>
    <w:basedOn w:val="BodyText"/>
    <w:rsid w:val="0073703D"/>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73703D"/>
    <w:rPr>
      <w:rFonts w:ascii="Courier New" w:hAnsi="Courier New"/>
    </w:rPr>
  </w:style>
  <w:style w:type="paragraph" w:customStyle="1" w:styleId="NoteBullet">
    <w:name w:val="Note Bullet"/>
    <w:basedOn w:val="Note"/>
    <w:rsid w:val="0073703D"/>
    <w:pPr>
      <w:tabs>
        <w:tab w:val="clear" w:pos="680"/>
      </w:tabs>
      <w:spacing w:before="60" w:after="60"/>
    </w:pPr>
  </w:style>
  <w:style w:type="paragraph" w:customStyle="1" w:styleId="SubHeading2">
    <w:name w:val="SubHeading2"/>
    <w:basedOn w:val="HeadingBase"/>
    <w:rsid w:val="0073703D"/>
    <w:pPr>
      <w:spacing w:before="240" w:after="60"/>
    </w:pPr>
    <w:rPr>
      <w:sz w:val="20"/>
    </w:rPr>
  </w:style>
  <w:style w:type="paragraph" w:customStyle="1" w:styleId="SubHeading1">
    <w:name w:val="SubHeading1"/>
    <w:basedOn w:val="HeadingBase"/>
    <w:rsid w:val="0073703D"/>
    <w:pPr>
      <w:spacing w:before="240" w:after="60"/>
    </w:pPr>
    <w:rPr>
      <w:color w:val="918585"/>
      <w:sz w:val="22"/>
    </w:rPr>
  </w:style>
  <w:style w:type="paragraph" w:customStyle="1" w:styleId="SideHeading">
    <w:name w:val="Side Heading"/>
    <w:basedOn w:val="HeadingBase"/>
    <w:rsid w:val="0073703D"/>
    <w:pPr>
      <w:framePr w:w="2268" w:h="567" w:hSpace="181" w:vSpace="181" w:wrap="around" w:vAnchor="text" w:hAnchor="page" w:x="1419" w:y="370" w:anchorLock="1"/>
    </w:pPr>
    <w:rPr>
      <w:sz w:val="22"/>
    </w:rPr>
  </w:style>
  <w:style w:type="paragraph" w:customStyle="1" w:styleId="TableListBullet">
    <w:name w:val="Table List Bullet"/>
    <w:basedOn w:val="ListBullet"/>
    <w:rsid w:val="0073703D"/>
    <w:pPr>
      <w:numPr>
        <w:numId w:val="12"/>
      </w:numPr>
    </w:pPr>
  </w:style>
  <w:style w:type="paragraph" w:styleId="PlainText">
    <w:name w:val="Plain Text"/>
    <w:basedOn w:val="Normal"/>
    <w:link w:val="PlainTextChar"/>
    <w:rsid w:val="0073703D"/>
    <w:rPr>
      <w:sz w:val="20"/>
    </w:rPr>
  </w:style>
  <w:style w:type="character" w:customStyle="1" w:styleId="PlainTextChar">
    <w:name w:val="Plain Text Char"/>
    <w:basedOn w:val="DefaultParagraphFont"/>
    <w:link w:val="PlainText"/>
    <w:rsid w:val="0073703D"/>
    <w:rPr>
      <w:rFonts w:ascii="Courier New" w:eastAsia="Times New Roman" w:hAnsi="Courier New" w:cs="Times New Roman"/>
      <w:sz w:val="20"/>
      <w:szCs w:val="20"/>
      <w:lang w:eastAsia="en-US"/>
    </w:rPr>
  </w:style>
  <w:style w:type="character" w:customStyle="1" w:styleId="MenuOption">
    <w:name w:val="Menu Option"/>
    <w:basedOn w:val="DefaultParagraphFont"/>
    <w:rsid w:val="0073703D"/>
    <w:rPr>
      <w:b/>
      <w:smallCaps/>
    </w:rPr>
  </w:style>
  <w:style w:type="paragraph" w:customStyle="1" w:styleId="TableListNumber">
    <w:name w:val="Table List Number"/>
    <w:basedOn w:val="ListNumber"/>
    <w:rsid w:val="0073703D"/>
    <w:pPr>
      <w:numPr>
        <w:numId w:val="0"/>
      </w:numPr>
    </w:pPr>
  </w:style>
  <w:style w:type="paragraph" w:styleId="TOC4">
    <w:name w:val="toc 4"/>
    <w:basedOn w:val="TOCBase"/>
    <w:next w:val="Normal"/>
    <w:semiHidden/>
    <w:rsid w:val="0073703D"/>
    <w:pPr>
      <w:tabs>
        <w:tab w:val="right" w:leader="dot" w:pos="9071"/>
      </w:tabs>
      <w:ind w:left="1701"/>
    </w:pPr>
  </w:style>
  <w:style w:type="paragraph" w:customStyle="1" w:styleId="ListAlpha">
    <w:name w:val="List Alpha"/>
    <w:basedOn w:val="List"/>
    <w:rsid w:val="0073703D"/>
    <w:pPr>
      <w:numPr>
        <w:numId w:val="9"/>
      </w:numPr>
    </w:pPr>
  </w:style>
  <w:style w:type="paragraph" w:customStyle="1" w:styleId="ListAlpha2">
    <w:name w:val="List Alpha 2"/>
    <w:basedOn w:val="List2"/>
    <w:rsid w:val="0073703D"/>
    <w:pPr>
      <w:numPr>
        <w:numId w:val="8"/>
      </w:numPr>
    </w:pPr>
  </w:style>
  <w:style w:type="paragraph" w:styleId="List2">
    <w:name w:val="List 2"/>
    <w:basedOn w:val="BodyText"/>
    <w:rsid w:val="0073703D"/>
    <w:pPr>
      <w:tabs>
        <w:tab w:val="left" w:pos="680"/>
      </w:tabs>
      <w:spacing w:before="60" w:after="60"/>
      <w:ind w:left="680" w:hanging="340"/>
    </w:pPr>
  </w:style>
  <w:style w:type="paragraph" w:styleId="List3">
    <w:name w:val="List 3"/>
    <w:basedOn w:val="BodyText"/>
    <w:rsid w:val="0073703D"/>
    <w:pPr>
      <w:tabs>
        <w:tab w:val="left" w:pos="1021"/>
      </w:tabs>
      <w:spacing w:before="60" w:after="60"/>
      <w:ind w:left="1020" w:hanging="340"/>
    </w:pPr>
  </w:style>
  <w:style w:type="paragraph" w:styleId="List4">
    <w:name w:val="List 4"/>
    <w:basedOn w:val="BodyText"/>
    <w:rsid w:val="0073703D"/>
    <w:pPr>
      <w:tabs>
        <w:tab w:val="left" w:pos="1361"/>
      </w:tabs>
      <w:spacing w:before="60" w:after="60"/>
      <w:ind w:left="1361" w:hanging="340"/>
    </w:pPr>
  </w:style>
  <w:style w:type="paragraph" w:styleId="List5">
    <w:name w:val="List 5"/>
    <w:basedOn w:val="BodyText"/>
    <w:rsid w:val="0073703D"/>
    <w:pPr>
      <w:tabs>
        <w:tab w:val="left" w:pos="1701"/>
      </w:tabs>
      <w:spacing w:before="60" w:after="60"/>
      <w:ind w:left="1701" w:hanging="340"/>
    </w:pPr>
  </w:style>
  <w:style w:type="paragraph" w:styleId="ListBullet3">
    <w:name w:val="List Bullet 3"/>
    <w:basedOn w:val="List3"/>
    <w:rsid w:val="0073703D"/>
    <w:pPr>
      <w:numPr>
        <w:numId w:val="15"/>
      </w:numPr>
      <w:tabs>
        <w:tab w:val="clear" w:pos="1021"/>
      </w:tabs>
      <w:ind w:left="1037" w:hanging="357"/>
    </w:pPr>
  </w:style>
  <w:style w:type="paragraph" w:styleId="ListBullet4">
    <w:name w:val="List Bullet 4"/>
    <w:basedOn w:val="List4"/>
    <w:rsid w:val="0073703D"/>
    <w:pPr>
      <w:numPr>
        <w:numId w:val="3"/>
      </w:numPr>
    </w:pPr>
  </w:style>
  <w:style w:type="paragraph" w:styleId="ListBullet5">
    <w:name w:val="List Bullet 5"/>
    <w:basedOn w:val="List5"/>
    <w:rsid w:val="0073703D"/>
    <w:pPr>
      <w:numPr>
        <w:numId w:val="4"/>
      </w:numPr>
    </w:pPr>
  </w:style>
  <w:style w:type="paragraph" w:styleId="ListContinue2">
    <w:name w:val="List Continue 2"/>
    <w:basedOn w:val="List2"/>
    <w:rsid w:val="0073703D"/>
    <w:pPr>
      <w:ind w:firstLine="0"/>
    </w:pPr>
  </w:style>
  <w:style w:type="paragraph" w:styleId="ListContinue3">
    <w:name w:val="List Continue 3"/>
    <w:basedOn w:val="List3"/>
    <w:rsid w:val="0073703D"/>
    <w:pPr>
      <w:ind w:left="1021" w:firstLine="0"/>
    </w:pPr>
  </w:style>
  <w:style w:type="paragraph" w:styleId="ListContinue4">
    <w:name w:val="List Continue 4"/>
    <w:basedOn w:val="List4"/>
    <w:rsid w:val="0073703D"/>
    <w:pPr>
      <w:ind w:firstLine="0"/>
    </w:pPr>
  </w:style>
  <w:style w:type="paragraph" w:styleId="ListContinue5">
    <w:name w:val="List Continue 5"/>
    <w:basedOn w:val="List5"/>
    <w:rsid w:val="0073703D"/>
    <w:pPr>
      <w:ind w:firstLine="0"/>
    </w:pPr>
  </w:style>
  <w:style w:type="paragraph" w:styleId="ListNumber3">
    <w:name w:val="List Number 3"/>
    <w:basedOn w:val="List3"/>
    <w:rsid w:val="0073703D"/>
    <w:pPr>
      <w:numPr>
        <w:numId w:val="5"/>
      </w:numPr>
    </w:pPr>
  </w:style>
  <w:style w:type="paragraph" w:styleId="ListNumber4">
    <w:name w:val="List Number 4"/>
    <w:basedOn w:val="List4"/>
    <w:rsid w:val="0073703D"/>
    <w:pPr>
      <w:numPr>
        <w:numId w:val="6"/>
      </w:numPr>
    </w:pPr>
  </w:style>
  <w:style w:type="paragraph" w:styleId="ListNumber5">
    <w:name w:val="List Number 5"/>
    <w:basedOn w:val="List5"/>
    <w:rsid w:val="0073703D"/>
    <w:pPr>
      <w:numPr>
        <w:numId w:val="7"/>
      </w:numPr>
    </w:pPr>
  </w:style>
  <w:style w:type="paragraph" w:styleId="BlockText">
    <w:name w:val="Block Text"/>
    <w:basedOn w:val="Normal"/>
    <w:rsid w:val="0073703D"/>
    <w:pPr>
      <w:spacing w:after="120"/>
      <w:ind w:left="1440" w:right="1440"/>
    </w:pPr>
  </w:style>
  <w:style w:type="character" w:customStyle="1" w:styleId="Subscript">
    <w:name w:val="Subscript"/>
    <w:basedOn w:val="DefaultParagraphFont"/>
    <w:rsid w:val="0073703D"/>
    <w:rPr>
      <w:sz w:val="16"/>
      <w:vertAlign w:val="subscript"/>
    </w:rPr>
  </w:style>
  <w:style w:type="character" w:customStyle="1" w:styleId="Superscript">
    <w:name w:val="Superscript"/>
    <w:basedOn w:val="DefaultParagraphFont"/>
    <w:rsid w:val="0073703D"/>
    <w:rPr>
      <w:sz w:val="16"/>
      <w:vertAlign w:val="superscript"/>
    </w:rPr>
  </w:style>
  <w:style w:type="character" w:customStyle="1" w:styleId="Symbols">
    <w:name w:val="Symbols"/>
    <w:basedOn w:val="DefaultParagraphFont"/>
    <w:rsid w:val="0073703D"/>
    <w:rPr>
      <w:rFonts w:ascii="Symbol" w:hAnsi="Symbol"/>
    </w:rPr>
  </w:style>
  <w:style w:type="character" w:customStyle="1" w:styleId="MenuOptions">
    <w:name w:val="Menu Options"/>
    <w:basedOn w:val="DefaultParagraphFont"/>
    <w:rsid w:val="0073703D"/>
    <w:rPr>
      <w:rFonts w:ascii="Arial Narrow" w:hAnsi="Arial Narrow"/>
      <w:smallCaps/>
    </w:rPr>
  </w:style>
  <w:style w:type="character" w:customStyle="1" w:styleId="Buttons">
    <w:name w:val="Buttons"/>
    <w:basedOn w:val="DefaultParagraphFont"/>
    <w:rsid w:val="0073703D"/>
    <w:rPr>
      <w:b/>
    </w:rPr>
  </w:style>
  <w:style w:type="character" w:customStyle="1" w:styleId="Underlined">
    <w:name w:val="Underlined"/>
    <w:basedOn w:val="DefaultParagraphFont"/>
    <w:rsid w:val="0073703D"/>
    <w:rPr>
      <w:u w:val="single"/>
    </w:rPr>
  </w:style>
  <w:style w:type="paragraph" w:customStyle="1" w:styleId="TableBodyTextRight">
    <w:name w:val="Table Body Text Right"/>
    <w:basedOn w:val="TableBodyText"/>
    <w:rsid w:val="0073703D"/>
    <w:pPr>
      <w:widowControl w:val="0"/>
      <w:autoSpaceDE w:val="0"/>
      <w:autoSpaceDN w:val="0"/>
      <w:adjustRightInd w:val="0"/>
      <w:jc w:val="right"/>
    </w:pPr>
    <w:rPr>
      <w:rFonts w:cs="Arial"/>
      <w:szCs w:val="18"/>
    </w:rPr>
  </w:style>
  <w:style w:type="paragraph" w:customStyle="1" w:styleId="CopyrightText">
    <w:name w:val="Copyright Text"/>
    <w:basedOn w:val="BodyText"/>
    <w:rsid w:val="0073703D"/>
    <w:rPr>
      <w:sz w:val="18"/>
    </w:rPr>
  </w:style>
  <w:style w:type="paragraph" w:customStyle="1" w:styleId="BodySmallRight">
    <w:name w:val="Body Small Right"/>
    <w:basedOn w:val="BodyTextRight"/>
    <w:rsid w:val="0073703D"/>
    <w:rPr>
      <w:sz w:val="18"/>
      <w:szCs w:val="18"/>
    </w:rPr>
  </w:style>
  <w:style w:type="paragraph" w:customStyle="1" w:styleId="MarginEdition">
    <w:name w:val="Margin Edition"/>
    <w:basedOn w:val="MarginNote"/>
    <w:rsid w:val="0073703D"/>
    <w:pPr>
      <w:spacing w:before="0" w:after="0"/>
    </w:pPr>
    <w:rPr>
      <w:rFonts w:ascii="Times New Roman" w:hAnsi="Times New Roman"/>
      <w:color w:val="999999"/>
    </w:rPr>
  </w:style>
  <w:style w:type="paragraph" w:customStyle="1" w:styleId="Spacer">
    <w:name w:val="Spacer"/>
    <w:basedOn w:val="Normal"/>
    <w:rsid w:val="0073703D"/>
    <w:rPr>
      <w:sz w:val="2"/>
      <w:szCs w:val="2"/>
    </w:rPr>
  </w:style>
  <w:style w:type="character" w:customStyle="1" w:styleId="Small">
    <w:name w:val="Small"/>
    <w:basedOn w:val="DefaultParagraphFont"/>
    <w:rsid w:val="0073703D"/>
    <w:rPr>
      <w:sz w:val="16"/>
    </w:rPr>
  </w:style>
  <w:style w:type="paragraph" w:customStyle="1" w:styleId="WideTable">
    <w:name w:val="Wide Table"/>
    <w:basedOn w:val="Normal"/>
    <w:rsid w:val="0073703D"/>
    <w:pPr>
      <w:ind w:left="-1418"/>
    </w:pPr>
    <w:rPr>
      <w:sz w:val="2"/>
      <w:szCs w:val="2"/>
    </w:rPr>
  </w:style>
  <w:style w:type="character" w:styleId="PageNumber">
    <w:name w:val="page number"/>
    <w:basedOn w:val="DefaultParagraphFont"/>
    <w:rsid w:val="0073703D"/>
  </w:style>
  <w:style w:type="paragraph" w:styleId="Quote">
    <w:name w:val="Quote"/>
    <w:basedOn w:val="Heading1"/>
    <w:link w:val="QuoteChar"/>
    <w:qFormat/>
    <w:rsid w:val="0073703D"/>
    <w:rPr>
      <w:b w:val="0"/>
      <w:sz w:val="72"/>
      <w:szCs w:val="72"/>
      <w:lang w:val="en-NZ"/>
    </w:rPr>
  </w:style>
  <w:style w:type="character" w:customStyle="1" w:styleId="QuoteChar">
    <w:name w:val="Quote Char"/>
    <w:basedOn w:val="DefaultParagraphFont"/>
    <w:link w:val="Quote"/>
    <w:rsid w:val="0073703D"/>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73703D"/>
    <w:pPr>
      <w:pageBreakBefore/>
    </w:pPr>
  </w:style>
  <w:style w:type="paragraph" w:customStyle="1" w:styleId="Border">
    <w:name w:val="Border"/>
    <w:basedOn w:val="Normal"/>
    <w:qFormat/>
    <w:rsid w:val="0073703D"/>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73703D"/>
    <w:rPr>
      <w:b/>
      <w:bCs/>
      <w:i/>
      <w:iCs/>
      <w:color w:val="auto"/>
    </w:rPr>
  </w:style>
  <w:style w:type="paragraph" w:styleId="IntenseQuote">
    <w:name w:val="Intense Quote"/>
    <w:basedOn w:val="Normal"/>
    <w:next w:val="Normal"/>
    <w:link w:val="IntenseQuoteChar"/>
    <w:uiPriority w:val="30"/>
    <w:qFormat/>
    <w:rsid w:val="0073703D"/>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73703D"/>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73703D"/>
    <w:rPr>
      <w:smallCaps/>
      <w:color w:val="auto"/>
      <w:u w:val="single"/>
    </w:rPr>
  </w:style>
  <w:style w:type="character" w:styleId="IntenseReference">
    <w:name w:val="Intense Reference"/>
    <w:basedOn w:val="DefaultParagraphFont"/>
    <w:uiPriority w:val="32"/>
    <w:qFormat/>
    <w:rsid w:val="0073703D"/>
    <w:rPr>
      <w:b/>
      <w:bCs/>
      <w:smallCaps/>
      <w:color w:val="auto"/>
      <w:spacing w:val="5"/>
      <w:u w:val="single"/>
    </w:rPr>
  </w:style>
  <w:style w:type="paragraph" w:customStyle="1" w:styleId="2ColumnHeading">
    <w:name w:val="2Column Heading"/>
    <w:basedOn w:val="BodyText"/>
    <w:qFormat/>
    <w:rsid w:val="0073703D"/>
    <w:pPr>
      <w:spacing w:after="60"/>
      <w:ind w:left="-2268"/>
    </w:pPr>
    <w:rPr>
      <w:b/>
    </w:rPr>
  </w:style>
  <w:style w:type="paragraph" w:customStyle="1" w:styleId="Heading1TOC">
    <w:name w:val="Heading1 TOC"/>
    <w:basedOn w:val="Normal"/>
    <w:qFormat/>
    <w:rsid w:val="0073703D"/>
    <w:pPr>
      <w:spacing w:before="240" w:after="120"/>
    </w:pPr>
    <w:rPr>
      <w:rFonts w:ascii="Times New Roman" w:hAnsi="Times New Roman"/>
      <w:b/>
      <w:sz w:val="32"/>
    </w:rPr>
  </w:style>
  <w:style w:type="paragraph" w:customStyle="1" w:styleId="Heading2TOC">
    <w:name w:val="Heading2 TOC"/>
    <w:basedOn w:val="Normal"/>
    <w:qFormat/>
    <w:rsid w:val="0073703D"/>
    <w:pPr>
      <w:spacing w:before="240" w:after="60"/>
    </w:pPr>
    <w:rPr>
      <w:rFonts w:ascii="Times New Roman" w:hAnsi="Times New Roman"/>
      <w:b/>
      <w:sz w:val="28"/>
    </w:rPr>
  </w:style>
  <w:style w:type="character" w:customStyle="1" w:styleId="Underline">
    <w:name w:val="Underline"/>
    <w:basedOn w:val="DefaultParagraphFont"/>
    <w:qFormat/>
    <w:rsid w:val="0073703D"/>
    <w:rPr>
      <w:u w:val="single"/>
    </w:rPr>
  </w:style>
  <w:style w:type="character" w:customStyle="1" w:styleId="BoldandItalics">
    <w:name w:val="Bold and Italics"/>
    <w:qFormat/>
    <w:rsid w:val="0073703D"/>
    <w:rPr>
      <w:b/>
      <w:i/>
      <w:u w:val="none"/>
    </w:rPr>
  </w:style>
  <w:style w:type="paragraph" w:styleId="BalloonText">
    <w:name w:val="Balloon Text"/>
    <w:basedOn w:val="Normal"/>
    <w:link w:val="BalloonTextChar"/>
    <w:rsid w:val="0073703D"/>
    <w:rPr>
      <w:rFonts w:ascii="Tahoma" w:hAnsi="Tahoma" w:cs="Tahoma"/>
      <w:sz w:val="16"/>
      <w:szCs w:val="16"/>
    </w:rPr>
  </w:style>
  <w:style w:type="character" w:customStyle="1" w:styleId="BalloonTextChar">
    <w:name w:val="Balloon Text Char"/>
    <w:basedOn w:val="DefaultParagraphFont"/>
    <w:link w:val="BalloonText"/>
    <w:rsid w:val="0073703D"/>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73703D"/>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73703D"/>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73703D"/>
    <w:rPr>
      <w:b/>
      <w:color w:val="660033"/>
      <w:spacing w:val="0"/>
    </w:rPr>
  </w:style>
  <w:style w:type="paragraph" w:customStyle="1" w:styleId="Nameditemlist">
    <w:name w:val="Named item list"/>
    <w:basedOn w:val="BodyText"/>
    <w:qFormat/>
    <w:rsid w:val="0073703D"/>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1789</Words>
  <Characters>10953</Characters>
  <Application>Microsoft Office Word</Application>
  <DocSecurity>0</DocSecurity>
  <Lines>388</Lines>
  <Paragraphs>160</Paragraphs>
  <ScaleCrop>false</ScaleCrop>
  <Company>Author-it Software Corporation Ltd.</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UEPOPS430B Control permit to work operations</dc:title>
  <dc:subject>Approved</dc:subject>
  <dc:creator>EE-Oz Training Standards</dc:creator>
  <cp:keywords>Release: 1</cp:keywords>
  <dc:description>Copyright © 1996-2007 Author-it Software Corporation Ltd., all rights reserved.</dc:description>
  <cp:lastModifiedBy>TPCMS</cp:lastModifiedBy>
  <cp:revision>3</cp:revision>
  <dcterms:created xsi:type="dcterms:W3CDTF">2012-07-25T16:54:00Z</dcterms:created>
  <dcterms:modified xsi:type="dcterms:W3CDTF">2012-07-25T16:54:00Z</dcterms:modified>
</cp:coreProperties>
</file>