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E3989" w:rsidRDefault="003E3989" w:rsidP="003E3989">
      <w:pPr>
        <w:pStyle w:val="Title"/>
      </w:pPr>
      <w:r>
        <w:fldChar w:fldCharType="begin"/>
      </w:r>
      <w:r>
        <w:instrText xml:space="preserve"> TITLE   \* MERGEFORMAT </w:instrText>
      </w:r>
      <w:r>
        <w:fldChar w:fldCharType="separate"/>
      </w:r>
      <w:r>
        <w:t>UEENEEH006B Assemble and set up fixed audio/video components and systems in buildings and premises</w:t>
      </w:r>
      <w:r>
        <w:fldChar w:fldCharType="end"/>
      </w:r>
    </w:p>
    <w:p w:rsidR="003E3989" w:rsidRDefault="003E3989" w:rsidP="003E3989">
      <w:pPr>
        <w:pStyle w:val="Version"/>
        <w:sectPr w:rsidR="003E3989" w:rsidSect="006371B8">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1</w:t>
        </w:r>
      </w:fldSimple>
    </w:p>
    <w:p w:rsidR="00000000" w:rsidRPr="006371B8" w:rsidRDefault="003E3989" w:rsidP="006371B8">
      <w:pPr>
        <w:pStyle w:val="SuperHeading"/>
      </w:pPr>
      <w:r w:rsidRPr="006371B8">
        <w:lastRenderedPageBreak/>
        <w:t>UEENEEH006B Assemble and set up fixed audio/video components and systems in buildings and premises</w:t>
      </w:r>
    </w:p>
    <w:p w:rsidR="00000000" w:rsidRPr="006371B8" w:rsidRDefault="003E3989" w:rsidP="006371B8">
      <w:pPr>
        <w:pStyle w:val="Heading1"/>
      </w:pPr>
      <w:bookmarkStart w:id="1" w:name="O_274689"/>
      <w:bookmarkEnd w:id="1"/>
      <w:r w:rsidRPr="006371B8">
        <w:t>Modification History</w:t>
      </w:r>
    </w:p>
    <w:p w:rsidR="00000000" w:rsidRPr="006371B8" w:rsidRDefault="003E3989" w:rsidP="006371B8">
      <w:pPr>
        <w:pStyle w:val="BodyText"/>
      </w:pPr>
      <w:r w:rsidRPr="006371B8">
        <w:t>Not Applicable</w:t>
      </w:r>
    </w:p>
    <w:p w:rsidR="00000000" w:rsidRPr="006371B8" w:rsidRDefault="003E3989" w:rsidP="006371B8">
      <w:pPr>
        <w:pStyle w:val="AllowPageBreak"/>
      </w:pPr>
    </w:p>
    <w:p w:rsidR="00000000" w:rsidRPr="006371B8" w:rsidRDefault="003E3989" w:rsidP="006371B8">
      <w:pPr>
        <w:pStyle w:val="Heading1"/>
      </w:pPr>
      <w:bookmarkStart w:id="2" w:name="O_226579"/>
      <w:bookmarkEnd w:id="2"/>
      <w:r w:rsidRPr="006371B8">
        <w:t>Unit Descriptor</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Tr="003E3989">
        <w:trPr>
          <w:tblHeader/>
        </w:trPr>
        <w:tc>
          <w:tcPr>
            <w:tcW w:w="2700" w:type="dxa"/>
            <w:tcBorders>
              <w:top w:val="nil"/>
              <w:left w:val="nil"/>
              <w:bottom w:val="nil"/>
              <w:right w:val="nil"/>
            </w:tcBorders>
            <w:tcMar>
              <w:top w:w="0" w:type="dxa"/>
              <w:left w:w="62" w:type="dxa"/>
              <w:bottom w:w="0" w:type="dxa"/>
              <w:right w:w="62" w:type="dxa"/>
            </w:tcMar>
          </w:tcPr>
          <w:p w:rsidR="00000000" w:rsidRPr="006371B8" w:rsidRDefault="003E3989" w:rsidP="006371B8">
            <w:pPr>
              <w:pStyle w:val="BodyText"/>
            </w:pPr>
            <w:r w:rsidRPr="006371B8">
              <w:rPr>
                <w:rStyle w:val="SpecialBold"/>
              </w:rPr>
              <w:t>Unit Descriptor</w:t>
            </w:r>
          </w:p>
        </w:tc>
        <w:tc>
          <w:tcPr>
            <w:tcW w:w="5760" w:type="dxa"/>
            <w:tcBorders>
              <w:top w:val="nil"/>
              <w:left w:val="nil"/>
              <w:bottom w:val="nil"/>
              <w:right w:val="nil"/>
            </w:tcBorders>
            <w:tcMar>
              <w:top w:w="0" w:type="dxa"/>
              <w:left w:w="62" w:type="dxa"/>
              <w:bottom w:w="0" w:type="dxa"/>
              <w:right w:w="62" w:type="dxa"/>
            </w:tcMar>
          </w:tcPr>
          <w:p w:rsidR="00000000" w:rsidRPr="006371B8" w:rsidRDefault="003E3989" w:rsidP="006371B8">
            <w:pPr>
              <w:pStyle w:val="BodyText"/>
            </w:pPr>
            <w:r w:rsidRPr="006371B8">
              <w:rPr>
                <w:rStyle w:val="SpecialBold"/>
              </w:rPr>
              <w:t>1</w:t>
            </w:r>
            <w:r w:rsidRPr="006371B8">
              <w:t>)</w:t>
            </w:r>
          </w:p>
          <w:p w:rsidR="00000000" w:rsidRDefault="003E3989" w:rsidP="006371B8">
            <w:pPr>
              <w:pStyle w:val="BodyText"/>
              <w:rPr>
                <w:lang w:val="en-NZ"/>
              </w:rPr>
            </w:pPr>
            <w:r w:rsidRPr="006371B8">
              <w:rPr>
                <w:rStyle w:val="SpecialBold"/>
              </w:rPr>
              <w:t>1</w:t>
            </w:r>
            <w:r w:rsidRPr="006371B8">
              <w:t>.</w:t>
            </w:r>
            <w:r w:rsidRPr="006371B8">
              <w:rPr>
                <w:rStyle w:val="SpecialBold"/>
              </w:rPr>
              <w:t>1</w:t>
            </w:r>
            <w:r w:rsidRPr="006371B8">
              <w:t xml:space="preserve">) </w:t>
            </w:r>
            <w:r w:rsidRPr="006371B8">
              <w:rPr>
                <w:rStyle w:val="SpecialBold"/>
              </w:rPr>
              <w:t>Descriptor</w:t>
            </w:r>
          </w:p>
        </w:tc>
      </w:tr>
      <w:tr w:rsidR="00000000" w:rsidRPr="006371B8" w:rsidTr="003E3989">
        <w:tc>
          <w:tcPr>
            <w:tcW w:w="270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5760" w:type="dxa"/>
            <w:tcBorders>
              <w:top w:val="nil"/>
              <w:left w:val="nil"/>
              <w:bottom w:val="nil"/>
              <w:right w:val="nil"/>
            </w:tcBorders>
            <w:tcMar>
              <w:top w:w="0" w:type="dxa"/>
              <w:left w:w="62" w:type="dxa"/>
              <w:bottom w:w="0" w:type="dxa"/>
              <w:right w:w="62" w:type="dxa"/>
            </w:tcMar>
          </w:tcPr>
          <w:p w:rsidR="00000000" w:rsidRPr="006371B8" w:rsidRDefault="003E3989" w:rsidP="006371B8">
            <w:pPr>
              <w:pStyle w:val="BodyText"/>
            </w:pPr>
            <w:r w:rsidRPr="006371B8">
              <w:t>This unit covers installing of fixed audio/video components and systems in a residential or business environment. It encompasses safe working practices; secure placement and connection of system components, following written and oral instruction and proced</w:t>
            </w:r>
            <w:r w:rsidRPr="006371B8">
              <w:t>ures and customer relations.</w:t>
            </w:r>
          </w:p>
        </w:tc>
      </w:tr>
    </w:tbl>
    <w:p w:rsidR="003E3989" w:rsidRDefault="003E3989" w:rsidP="006371B8">
      <w:pPr>
        <w:pStyle w:val="BodyText"/>
      </w:pPr>
    </w:p>
    <w:p w:rsidR="003E3989" w:rsidRDefault="003E3989" w:rsidP="006371B8">
      <w:pPr>
        <w:pStyle w:val="BodyText"/>
      </w:pPr>
    </w:p>
    <w:p w:rsidR="00000000" w:rsidRPr="006371B8" w:rsidRDefault="003E3989" w:rsidP="006371B8">
      <w:pPr>
        <w:pStyle w:val="Heading1"/>
      </w:pPr>
      <w:bookmarkStart w:id="3" w:name="O_226584"/>
      <w:bookmarkEnd w:id="3"/>
      <w:r w:rsidRPr="006371B8">
        <w:t>Application of the Unit</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Tr="003E3989">
        <w:trPr>
          <w:tblHeader/>
        </w:trPr>
        <w:tc>
          <w:tcPr>
            <w:tcW w:w="2700" w:type="dxa"/>
            <w:tcBorders>
              <w:top w:val="nil"/>
              <w:left w:val="nil"/>
              <w:bottom w:val="nil"/>
              <w:right w:val="nil"/>
            </w:tcBorders>
            <w:tcMar>
              <w:top w:w="0" w:type="dxa"/>
              <w:left w:w="62" w:type="dxa"/>
              <w:bottom w:w="0" w:type="dxa"/>
              <w:right w:w="62" w:type="dxa"/>
            </w:tcMar>
          </w:tcPr>
          <w:p w:rsidR="00000000" w:rsidRPr="006371B8" w:rsidRDefault="003E3989" w:rsidP="006371B8">
            <w:pPr>
              <w:pStyle w:val="BodyText"/>
            </w:pPr>
            <w:r w:rsidRPr="006371B8">
              <w:rPr>
                <w:rStyle w:val="SpecialBold"/>
              </w:rPr>
              <w:t>Application of the Unit</w:t>
            </w:r>
          </w:p>
        </w:tc>
        <w:tc>
          <w:tcPr>
            <w:tcW w:w="576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rPr>
                <w:rStyle w:val="SpecialBold"/>
              </w:rPr>
              <w:t>4</w:t>
            </w:r>
            <w:r w:rsidRPr="006371B8">
              <w:t>)</w:t>
            </w:r>
          </w:p>
        </w:tc>
      </w:tr>
      <w:tr w:rsidR="00000000" w:rsidRPr="006371B8" w:rsidTr="003E3989">
        <w:tc>
          <w:tcPr>
            <w:tcW w:w="270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5760" w:type="dxa"/>
            <w:tcBorders>
              <w:top w:val="nil"/>
              <w:left w:val="nil"/>
              <w:bottom w:val="nil"/>
              <w:right w:val="nil"/>
            </w:tcBorders>
            <w:tcMar>
              <w:top w:w="0" w:type="dxa"/>
              <w:left w:w="62" w:type="dxa"/>
              <w:bottom w:w="0" w:type="dxa"/>
              <w:right w:w="62" w:type="dxa"/>
            </w:tcMar>
          </w:tcPr>
          <w:p w:rsidR="00000000" w:rsidRPr="006371B8" w:rsidRDefault="003E3989" w:rsidP="006371B8">
            <w:pPr>
              <w:pStyle w:val="BodyText"/>
            </w:pPr>
            <w:r w:rsidRPr="006371B8">
              <w:t>This unit is intended for competency development in entry-level employment based programs incorporated in approved contracts of training or approved train</w:t>
            </w:r>
            <w:r w:rsidRPr="006371B8">
              <w:t>ing programs.</w:t>
            </w:r>
          </w:p>
        </w:tc>
      </w:tr>
    </w:tbl>
    <w:p w:rsidR="003E3989" w:rsidRDefault="003E3989" w:rsidP="006371B8">
      <w:pPr>
        <w:pStyle w:val="BodyText"/>
      </w:pPr>
    </w:p>
    <w:p w:rsidR="003E3989" w:rsidRDefault="003E3989" w:rsidP="006371B8">
      <w:pPr>
        <w:pStyle w:val="BodyText"/>
      </w:pPr>
    </w:p>
    <w:p w:rsidR="00000000" w:rsidRPr="006371B8" w:rsidRDefault="003E3989" w:rsidP="006371B8">
      <w:pPr>
        <w:pStyle w:val="Heading1"/>
      </w:pPr>
      <w:bookmarkStart w:id="4" w:name="O_226580"/>
      <w:bookmarkEnd w:id="4"/>
      <w:r w:rsidRPr="006371B8">
        <w:t>Licensing/Regulatory Information</w:t>
      </w:r>
    </w:p>
    <w:tbl>
      <w:tblPr>
        <w:tblW w:w="0" w:type="auto"/>
        <w:tblLayout w:type="fixed"/>
        <w:tblCellMar>
          <w:left w:w="62" w:type="dxa"/>
          <w:right w:w="62" w:type="dxa"/>
        </w:tblCellMar>
        <w:tblLook w:val="0000" w:firstRow="0" w:lastRow="0" w:firstColumn="0" w:lastColumn="0" w:noHBand="0" w:noVBand="0"/>
      </w:tblPr>
      <w:tblGrid>
        <w:gridCol w:w="8460"/>
      </w:tblGrid>
      <w:tr w:rsidR="00000000" w:rsidTr="003E3989">
        <w:trPr>
          <w:tblHeader/>
        </w:trPr>
        <w:tc>
          <w:tcPr>
            <w:tcW w:w="846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rPr>
                <w:rStyle w:val="SpecialBold"/>
              </w:rPr>
              <w:t>1</w:t>
            </w:r>
            <w:r w:rsidRPr="006371B8">
              <w:t>.</w:t>
            </w:r>
            <w:r w:rsidRPr="006371B8">
              <w:rPr>
                <w:rStyle w:val="SpecialBold"/>
              </w:rPr>
              <w:t>2</w:t>
            </w:r>
            <w:r w:rsidRPr="006371B8">
              <w:t xml:space="preserve">) </w:t>
            </w:r>
            <w:r w:rsidRPr="006371B8">
              <w:rPr>
                <w:rStyle w:val="SpecialBold"/>
              </w:rPr>
              <w:t>License to practice</w:t>
            </w:r>
          </w:p>
        </w:tc>
      </w:tr>
      <w:tr w:rsidR="00000000" w:rsidRPr="006371B8" w:rsidTr="003E3989">
        <w:tc>
          <w:tcPr>
            <w:tcW w:w="8460" w:type="dxa"/>
            <w:tcBorders>
              <w:top w:val="nil"/>
              <w:left w:val="nil"/>
              <w:bottom w:val="nil"/>
              <w:right w:val="nil"/>
            </w:tcBorders>
            <w:tcMar>
              <w:top w:w="0" w:type="dxa"/>
              <w:left w:w="62" w:type="dxa"/>
              <w:bottom w:w="0" w:type="dxa"/>
              <w:right w:w="62" w:type="dxa"/>
            </w:tcMar>
          </w:tcPr>
          <w:p w:rsidR="00000000" w:rsidRPr="006371B8" w:rsidRDefault="003E3989" w:rsidP="006371B8">
            <w:pPr>
              <w:pStyle w:val="BodyText"/>
            </w:pPr>
            <w:r w:rsidRPr="006371B8">
              <w:t xml:space="preserve">The skills and knowledge described in this unit do not require a license to practice in the workplace. However, practice in this unit is subject </w:t>
            </w:r>
            <w:r w:rsidRPr="006371B8">
              <w:t>to regulations directly related to occupational health and safety and where applicable contracts of training such as apprenticeships.</w:t>
            </w:r>
          </w:p>
          <w:p w:rsidR="00000000" w:rsidRPr="006371B8" w:rsidRDefault="003E3989" w:rsidP="006371B8">
            <w:pPr>
              <w:pStyle w:val="BodyText"/>
            </w:pPr>
            <w:r w:rsidRPr="006371B8">
              <w:t>Note:</w:t>
            </w:r>
            <w:r w:rsidRPr="006371B8">
              <w:br/>
              <w:t>1. Compliance with permits may be required in various jurisdictions and typically relates to the operation of plant,</w:t>
            </w:r>
            <w:r w:rsidRPr="006371B8">
              <w:t xml:space="preserve"> machinery and equipment such as elevating work platforms, powder operated fixing tools, power operated tools, vehicles, road signage and traffic control, lifting equipment and the like. Permits may also be required for some work environments such as confi</w:t>
            </w:r>
            <w:r w:rsidRPr="006371B8">
              <w:t>ned spaces, working aloft, near live electrical apparatus and site rehabilitation.</w:t>
            </w:r>
            <w:r w:rsidRPr="006371B8">
              <w:br/>
              <w:t>2. Compliance may be required in various jurisdictions relating to currency in First Aid, confined space, lifting and risk safety measures.</w:t>
            </w:r>
          </w:p>
        </w:tc>
      </w:tr>
    </w:tbl>
    <w:p w:rsidR="003E3989" w:rsidRDefault="003E3989" w:rsidP="006371B8">
      <w:pPr>
        <w:pStyle w:val="BodyText"/>
      </w:pPr>
    </w:p>
    <w:p w:rsidR="003E3989" w:rsidRDefault="003E3989" w:rsidP="006371B8">
      <w:pPr>
        <w:pStyle w:val="BodyText"/>
      </w:pPr>
    </w:p>
    <w:p w:rsidR="00000000" w:rsidRPr="006371B8" w:rsidRDefault="003E3989" w:rsidP="006371B8">
      <w:pPr>
        <w:pStyle w:val="Heading1"/>
      </w:pPr>
      <w:bookmarkStart w:id="5" w:name="O_226581"/>
      <w:bookmarkEnd w:id="5"/>
      <w:r w:rsidRPr="006371B8">
        <w:t>Pre-Requisites</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Tr="003E3989">
        <w:trPr>
          <w:tblHeader/>
        </w:trPr>
        <w:tc>
          <w:tcPr>
            <w:tcW w:w="2700" w:type="dxa"/>
            <w:tcBorders>
              <w:top w:val="nil"/>
              <w:left w:val="nil"/>
              <w:bottom w:val="nil"/>
              <w:right w:val="nil"/>
            </w:tcBorders>
            <w:tcMar>
              <w:top w:w="0" w:type="dxa"/>
              <w:left w:w="62" w:type="dxa"/>
              <w:bottom w:w="0" w:type="dxa"/>
              <w:right w:w="62" w:type="dxa"/>
            </w:tcMar>
          </w:tcPr>
          <w:p w:rsidR="00000000" w:rsidRPr="006371B8" w:rsidRDefault="003E3989" w:rsidP="006371B8">
            <w:pPr>
              <w:pStyle w:val="BodyText"/>
            </w:pPr>
            <w:r w:rsidRPr="006371B8">
              <w:rPr>
                <w:rStyle w:val="SpecialBold"/>
              </w:rPr>
              <w:t>Prerequisite Unit</w:t>
            </w:r>
            <w:r w:rsidRPr="006371B8">
              <w:t>(</w:t>
            </w:r>
            <w:r w:rsidRPr="006371B8">
              <w:rPr>
                <w:rStyle w:val="SpecialBold"/>
              </w:rPr>
              <w:t>s</w:t>
            </w:r>
            <w:r w:rsidRPr="006371B8">
              <w:t>)</w:t>
            </w:r>
          </w:p>
        </w:tc>
        <w:tc>
          <w:tcPr>
            <w:tcW w:w="576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rPr>
                <w:rStyle w:val="SpecialBold"/>
              </w:rPr>
              <w:t>2</w:t>
            </w:r>
            <w:r w:rsidRPr="006371B8">
              <w:t>)</w:t>
            </w:r>
          </w:p>
        </w:tc>
      </w:tr>
      <w:tr w:rsidR="00000000" w:rsidTr="003E3989">
        <w:tc>
          <w:tcPr>
            <w:tcW w:w="2700" w:type="dxa"/>
            <w:tcBorders>
              <w:top w:val="nil"/>
              <w:left w:val="nil"/>
              <w:bottom w:val="nil"/>
              <w:right w:val="nil"/>
            </w:tcBorders>
            <w:tcMar>
              <w:top w:w="0" w:type="dxa"/>
              <w:left w:w="62" w:type="dxa"/>
              <w:bottom w:w="0" w:type="dxa"/>
              <w:right w:w="62" w:type="dxa"/>
            </w:tcMar>
          </w:tcPr>
          <w:p w:rsidR="00000000" w:rsidRPr="006371B8" w:rsidRDefault="003E3989">
            <w:pPr>
              <w:pStyle w:val="BodyText"/>
              <w:keepNext w:val="0"/>
              <w:keepLines w:val="0"/>
              <w:contextualSpacing w:val="0"/>
            </w:pPr>
          </w:p>
        </w:tc>
        <w:tc>
          <w:tcPr>
            <w:tcW w:w="576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rPr>
                <w:rStyle w:val="SpecialBold"/>
              </w:rPr>
              <w:t>2</w:t>
            </w:r>
            <w:r w:rsidRPr="006371B8">
              <w:t>.</w:t>
            </w:r>
            <w:r w:rsidRPr="006371B8">
              <w:rPr>
                <w:rStyle w:val="SpecialBold"/>
              </w:rPr>
              <w:t>1</w:t>
            </w:r>
            <w:r w:rsidRPr="006371B8">
              <w:t xml:space="preserve">) </w:t>
            </w:r>
            <w:r w:rsidRPr="006371B8">
              <w:rPr>
                <w:rStyle w:val="SpecialBold"/>
              </w:rPr>
              <w:t>Competencies</w:t>
            </w:r>
          </w:p>
        </w:tc>
      </w:tr>
      <w:tr w:rsidR="00000000" w:rsidRPr="006371B8" w:rsidTr="003E3989">
        <w:tc>
          <w:tcPr>
            <w:tcW w:w="270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5760" w:type="dxa"/>
            <w:tcBorders>
              <w:top w:val="nil"/>
              <w:left w:val="nil"/>
              <w:bottom w:val="nil"/>
              <w:right w:val="nil"/>
            </w:tcBorders>
            <w:tcMar>
              <w:top w:w="0" w:type="dxa"/>
              <w:left w:w="62" w:type="dxa"/>
              <w:bottom w:w="0" w:type="dxa"/>
              <w:right w:w="62" w:type="dxa"/>
            </w:tcMar>
          </w:tcPr>
          <w:p w:rsidR="00000000" w:rsidRPr="006371B8" w:rsidRDefault="003E3989" w:rsidP="006371B8">
            <w:pPr>
              <w:pStyle w:val="BodyText"/>
            </w:pPr>
            <w:r w:rsidRPr="006371B8">
              <w:t>Granting competency in this unit shall be made only after competency in the following unit(s) has/have been confirmed.</w:t>
            </w:r>
          </w:p>
          <w:p w:rsidR="00000000" w:rsidRPr="006371B8" w:rsidRDefault="003E3989" w:rsidP="006371B8">
            <w:pPr>
              <w:pStyle w:val="BodyText"/>
            </w:pPr>
            <w:r w:rsidRPr="006371B8">
              <w:t>UEE</w:t>
            </w:r>
            <w:r w:rsidRPr="006371B8">
              <w:t>NEEE008B Lay wiring/cabling and terminate accessories for extra-low voltage circuits</w:t>
            </w:r>
          </w:p>
          <w:p w:rsidR="00000000" w:rsidRPr="006371B8" w:rsidRDefault="003E3989" w:rsidP="006371B8">
            <w:pPr>
              <w:pStyle w:val="BodyText"/>
            </w:pPr>
            <w:r w:rsidRPr="006371B8">
              <w:t>For the full prerequisite chain details for this unit please refer to Table 2 in Volume 1, Part 2</w:t>
            </w:r>
          </w:p>
        </w:tc>
      </w:tr>
    </w:tbl>
    <w:p w:rsidR="003E3989" w:rsidRDefault="003E3989" w:rsidP="006371B8">
      <w:pPr>
        <w:pStyle w:val="BodyText"/>
      </w:pPr>
    </w:p>
    <w:p w:rsidR="003E3989" w:rsidRDefault="003E3989" w:rsidP="006371B8">
      <w:pPr>
        <w:pStyle w:val="BodyText"/>
      </w:pPr>
    </w:p>
    <w:p w:rsidR="00000000" w:rsidRPr="006371B8" w:rsidRDefault="003E3989" w:rsidP="006371B8">
      <w:pPr>
        <w:pStyle w:val="Heading1"/>
      </w:pPr>
      <w:bookmarkStart w:id="6" w:name="O_226583"/>
      <w:bookmarkEnd w:id="6"/>
      <w:r w:rsidRPr="006371B8">
        <w:t>Employability Skills Information</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RPr="006371B8" w:rsidTr="003E3989">
        <w:tc>
          <w:tcPr>
            <w:tcW w:w="2700" w:type="dxa"/>
            <w:tcBorders>
              <w:top w:val="nil"/>
              <w:left w:val="nil"/>
              <w:bottom w:val="nil"/>
              <w:right w:val="nil"/>
            </w:tcBorders>
            <w:tcMar>
              <w:top w:w="0" w:type="dxa"/>
              <w:left w:w="62" w:type="dxa"/>
              <w:bottom w:w="0" w:type="dxa"/>
              <w:right w:w="62" w:type="dxa"/>
            </w:tcMar>
          </w:tcPr>
          <w:p w:rsidR="00000000" w:rsidRPr="006371B8" w:rsidRDefault="003E3989" w:rsidP="006371B8">
            <w:pPr>
              <w:pStyle w:val="BodyText"/>
            </w:pPr>
            <w:r w:rsidRPr="006371B8">
              <w:rPr>
                <w:rStyle w:val="SpecialBold"/>
              </w:rPr>
              <w:t>Employability Skills</w:t>
            </w:r>
          </w:p>
        </w:tc>
        <w:tc>
          <w:tcPr>
            <w:tcW w:w="5760" w:type="dxa"/>
            <w:tcBorders>
              <w:top w:val="nil"/>
              <w:left w:val="nil"/>
              <w:bottom w:val="nil"/>
              <w:right w:val="nil"/>
            </w:tcBorders>
            <w:tcMar>
              <w:top w:w="0" w:type="dxa"/>
              <w:left w:w="62" w:type="dxa"/>
              <w:bottom w:w="0" w:type="dxa"/>
              <w:right w:w="62" w:type="dxa"/>
            </w:tcMar>
          </w:tcPr>
          <w:p w:rsidR="00000000" w:rsidRPr="006371B8" w:rsidRDefault="003E3989" w:rsidP="006371B8">
            <w:pPr>
              <w:pStyle w:val="BodyText"/>
            </w:pPr>
            <w:r w:rsidRPr="006371B8">
              <w:rPr>
                <w:rStyle w:val="SpecialBold"/>
              </w:rPr>
              <w:t>3</w:t>
            </w:r>
            <w:r w:rsidRPr="006371B8">
              <w:t>)</w:t>
            </w:r>
          </w:p>
          <w:p w:rsidR="00000000" w:rsidRPr="006371B8" w:rsidRDefault="003E3989" w:rsidP="006371B8">
            <w:pPr>
              <w:pStyle w:val="BodyText"/>
            </w:pPr>
            <w:r w:rsidRPr="006371B8">
              <w:t>This unit contains Employability Skills</w:t>
            </w:r>
          </w:p>
          <w:p w:rsidR="00000000" w:rsidRPr="006371B8" w:rsidRDefault="003E3989" w:rsidP="006371B8">
            <w:pPr>
              <w:pStyle w:val="BodyText"/>
            </w:pPr>
            <w:r w:rsidRPr="006371B8">
              <w:t>The required outcomes described in this unit of competency contain applicable facets of Employability Skills. The Employability Skills Summary of the qualification in which this unit o</w:t>
            </w:r>
            <w:r w:rsidRPr="006371B8">
              <w:t>f competency is packaged will assist in identifying Employability Skill requirements.</w:t>
            </w:r>
          </w:p>
        </w:tc>
      </w:tr>
    </w:tbl>
    <w:p w:rsidR="003E3989" w:rsidRDefault="003E3989" w:rsidP="006371B8">
      <w:pPr>
        <w:pStyle w:val="BodyText"/>
      </w:pPr>
    </w:p>
    <w:p w:rsidR="003E3989" w:rsidRDefault="003E3989" w:rsidP="006371B8">
      <w:pPr>
        <w:pStyle w:val="BodyText"/>
      </w:pPr>
    </w:p>
    <w:p w:rsidR="00000000" w:rsidRPr="006371B8" w:rsidRDefault="003E3989" w:rsidP="006371B8">
      <w:pPr>
        <w:pStyle w:val="Heading1"/>
      </w:pPr>
      <w:bookmarkStart w:id="7" w:name="O_292735"/>
      <w:bookmarkEnd w:id="7"/>
      <w:r w:rsidRPr="006371B8">
        <w:t>Elements and Performance Criteria Pre-Content</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RPr="006371B8" w:rsidTr="003E3989">
        <w:tc>
          <w:tcPr>
            <w:tcW w:w="270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rPr>
                <w:rStyle w:val="SpecialBold"/>
              </w:rPr>
              <w:t>6</w:t>
            </w:r>
            <w:r w:rsidRPr="006371B8">
              <w:t>) Elements describe the essential outcomes of a unit of competency</w:t>
            </w:r>
          </w:p>
        </w:tc>
        <w:tc>
          <w:tcPr>
            <w:tcW w:w="5760" w:type="dxa"/>
            <w:tcBorders>
              <w:top w:val="nil"/>
              <w:left w:val="nil"/>
              <w:bottom w:val="nil"/>
              <w:right w:val="nil"/>
            </w:tcBorders>
            <w:tcMar>
              <w:top w:w="0" w:type="dxa"/>
              <w:left w:w="62" w:type="dxa"/>
              <w:bottom w:w="0" w:type="dxa"/>
              <w:right w:w="62" w:type="dxa"/>
            </w:tcMar>
          </w:tcPr>
          <w:p w:rsidR="00000000" w:rsidRPr="006371B8" w:rsidRDefault="003E3989" w:rsidP="006371B8">
            <w:pPr>
              <w:pStyle w:val="BodyText"/>
            </w:pPr>
            <w:r w:rsidRPr="006371B8">
              <w:t>Performance criteria describe the re</w:t>
            </w:r>
            <w:r w:rsidRPr="006371B8">
              <w:t>quired performance needed to demonstrate achievement of the Element. Assessment of performance is to be consistent with the evidence guide.</w:t>
            </w:r>
          </w:p>
        </w:tc>
      </w:tr>
    </w:tbl>
    <w:p w:rsidR="00000000" w:rsidRPr="006371B8" w:rsidRDefault="003E3989" w:rsidP="006371B8">
      <w:pPr>
        <w:pStyle w:val="BodyText"/>
      </w:pPr>
    </w:p>
    <w:p w:rsidR="00000000" w:rsidRPr="006371B8" w:rsidRDefault="003E3989" w:rsidP="006371B8">
      <w:pPr>
        <w:pStyle w:val="AllowPageBreak"/>
      </w:pPr>
    </w:p>
    <w:p w:rsidR="00000000" w:rsidRPr="006371B8" w:rsidRDefault="003E3989" w:rsidP="006371B8">
      <w:pPr>
        <w:pStyle w:val="Heading1"/>
      </w:pPr>
      <w:bookmarkStart w:id="8" w:name="O_239403"/>
      <w:bookmarkEnd w:id="8"/>
      <w:r w:rsidRPr="006371B8">
        <w:t>Elements and Performance Criteria</w:t>
      </w:r>
    </w:p>
    <w:tbl>
      <w:tblPr>
        <w:tblW w:w="0" w:type="auto"/>
        <w:tblLayout w:type="fixed"/>
        <w:tblCellMar>
          <w:left w:w="62" w:type="dxa"/>
          <w:right w:w="62" w:type="dxa"/>
        </w:tblCellMar>
        <w:tblLook w:val="0000" w:firstRow="0" w:lastRow="0" w:firstColumn="0" w:lastColumn="0" w:noHBand="0" w:noVBand="0"/>
      </w:tblPr>
      <w:tblGrid>
        <w:gridCol w:w="404"/>
        <w:gridCol w:w="2296"/>
        <w:gridCol w:w="900"/>
        <w:gridCol w:w="4860"/>
      </w:tblGrid>
      <w:tr w:rsidR="006371B8" w:rsidTr="003E3989">
        <w:trPr>
          <w:tblHeader/>
        </w:trPr>
        <w:tc>
          <w:tcPr>
            <w:tcW w:w="2700" w:type="dxa"/>
            <w:gridSpan w:val="2"/>
            <w:tcBorders>
              <w:top w:val="nil"/>
              <w:left w:val="nil"/>
              <w:bottom w:val="nil"/>
              <w:right w:val="nil"/>
            </w:tcBorders>
            <w:tcMar>
              <w:top w:w="0" w:type="dxa"/>
              <w:left w:w="62" w:type="dxa"/>
              <w:bottom w:w="0" w:type="dxa"/>
              <w:right w:w="62" w:type="dxa"/>
            </w:tcMar>
          </w:tcPr>
          <w:p w:rsidR="00000000" w:rsidRPr="006371B8" w:rsidRDefault="003E3989" w:rsidP="006371B8">
            <w:pPr>
              <w:pStyle w:val="BodyText"/>
            </w:pPr>
            <w:r w:rsidRPr="006371B8">
              <w:rPr>
                <w:rStyle w:val="SpecialBold"/>
              </w:rPr>
              <w:t>ELEMENT</w:t>
            </w:r>
          </w:p>
        </w:tc>
        <w:tc>
          <w:tcPr>
            <w:tcW w:w="5760" w:type="dxa"/>
            <w:gridSpan w:val="2"/>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rPr>
                <w:rStyle w:val="SpecialBold"/>
              </w:rPr>
              <w:t>PERFORMANCE CRITERIA</w:t>
            </w:r>
          </w:p>
        </w:tc>
      </w:tr>
      <w:tr w:rsidR="00000000" w:rsidTr="003E3989">
        <w:tc>
          <w:tcPr>
            <w:tcW w:w="404"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1</w:t>
            </w:r>
          </w:p>
        </w:tc>
        <w:tc>
          <w:tcPr>
            <w:tcW w:w="2296" w:type="dxa"/>
            <w:vMerge w:val="restart"/>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Prepare to install audio/video components and systems.</w:t>
            </w:r>
          </w:p>
        </w:tc>
        <w:tc>
          <w:tcPr>
            <w:tcW w:w="90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1.1</w:t>
            </w:r>
          </w:p>
        </w:tc>
        <w:tc>
          <w:tcPr>
            <w:tcW w:w="486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OHS procedures for a given work area are identified, obtained and understood through established routines.</w:t>
            </w:r>
          </w:p>
        </w:tc>
      </w:tr>
      <w:tr w:rsidR="00000000" w:rsidTr="003E3989">
        <w:tc>
          <w:tcPr>
            <w:tcW w:w="404"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1.2</w:t>
            </w:r>
          </w:p>
        </w:tc>
        <w:tc>
          <w:tcPr>
            <w:tcW w:w="486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Established OHS risk control measures are followed in preparation for the work.</w:t>
            </w:r>
          </w:p>
        </w:tc>
      </w:tr>
      <w:tr w:rsidR="00000000" w:rsidTr="003E3989">
        <w:tc>
          <w:tcPr>
            <w:tcW w:w="404"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1.3</w:t>
            </w:r>
          </w:p>
        </w:tc>
        <w:tc>
          <w:tcPr>
            <w:tcW w:w="486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Safety hazards, which have not previously been identified, are reported and advise on risk control measures, are sought from the work supervisor.</w:t>
            </w:r>
          </w:p>
        </w:tc>
      </w:tr>
      <w:tr w:rsidR="00000000" w:rsidTr="003E3989">
        <w:tc>
          <w:tcPr>
            <w:tcW w:w="404"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1.4</w:t>
            </w:r>
          </w:p>
        </w:tc>
        <w:tc>
          <w:tcPr>
            <w:tcW w:w="486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The nature and location of the work is obtained from work supervisor or other appropriate person to</w:t>
            </w:r>
            <w:r w:rsidRPr="006371B8">
              <w:t xml:space="preserve"> establish the scope of work to be undertaken.</w:t>
            </w:r>
          </w:p>
        </w:tc>
      </w:tr>
      <w:tr w:rsidR="00000000" w:rsidTr="003E3989">
        <w:tc>
          <w:tcPr>
            <w:tcW w:w="404"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1.5</w:t>
            </w:r>
          </w:p>
        </w:tc>
        <w:tc>
          <w:tcPr>
            <w:tcW w:w="486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 xml:space="preserve">Advice is sought from the work supervisor and/or other appropriate person to ensure the work is co-ordinated effectively with others. </w:t>
            </w:r>
          </w:p>
        </w:tc>
      </w:tr>
      <w:tr w:rsidR="00000000" w:rsidTr="003E3989">
        <w:tc>
          <w:tcPr>
            <w:tcW w:w="404"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1.6</w:t>
            </w:r>
          </w:p>
        </w:tc>
        <w:tc>
          <w:tcPr>
            <w:tcW w:w="486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Sources of materials that may be required for the work are established in accordance with established routines.</w:t>
            </w:r>
          </w:p>
        </w:tc>
      </w:tr>
      <w:tr w:rsidR="00000000" w:rsidTr="003E3989">
        <w:tc>
          <w:tcPr>
            <w:tcW w:w="404"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1.7</w:t>
            </w:r>
          </w:p>
        </w:tc>
        <w:tc>
          <w:tcPr>
            <w:tcW w:w="486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Tools, equipment and testing devices needed to carry out the work are obtained and checked for correct operation and safety.</w:t>
            </w:r>
          </w:p>
        </w:tc>
      </w:tr>
      <w:tr w:rsidR="00000000" w:rsidTr="003E3989">
        <w:tc>
          <w:tcPr>
            <w:tcW w:w="404"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2</w:t>
            </w:r>
          </w:p>
        </w:tc>
        <w:tc>
          <w:tcPr>
            <w:tcW w:w="2296" w:type="dxa"/>
            <w:vMerge w:val="restart"/>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Install a</w:t>
            </w:r>
            <w:r w:rsidRPr="006371B8">
              <w:t>udio/video components and systems.</w:t>
            </w:r>
          </w:p>
        </w:tc>
        <w:tc>
          <w:tcPr>
            <w:tcW w:w="90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2.1</w:t>
            </w:r>
          </w:p>
        </w:tc>
        <w:tc>
          <w:tcPr>
            <w:tcW w:w="486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Established OHS risk control measures for carrying out the work are followed.</w:t>
            </w:r>
          </w:p>
        </w:tc>
      </w:tr>
      <w:tr w:rsidR="00000000" w:rsidTr="003E3989">
        <w:tc>
          <w:tcPr>
            <w:tcW w:w="404"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2.2</w:t>
            </w:r>
          </w:p>
        </w:tc>
        <w:tc>
          <w:tcPr>
            <w:tcW w:w="486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Circuits/machines/plant are checked as being isolated where necessary in strict accordance OHS requirements and procedures</w:t>
            </w:r>
          </w:p>
        </w:tc>
      </w:tr>
      <w:tr w:rsidR="00000000" w:rsidTr="003E3989">
        <w:tc>
          <w:tcPr>
            <w:tcW w:w="404"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2.3</w:t>
            </w:r>
          </w:p>
        </w:tc>
        <w:tc>
          <w:tcPr>
            <w:tcW w:w="486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Audio/video components are installed to comply with standards and job specifications with sufficient excess to affect terminations.</w:t>
            </w:r>
          </w:p>
        </w:tc>
      </w:tr>
      <w:tr w:rsidR="00000000" w:rsidTr="003E3989">
        <w:tc>
          <w:tcPr>
            <w:tcW w:w="404"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2.4</w:t>
            </w:r>
          </w:p>
        </w:tc>
        <w:tc>
          <w:tcPr>
            <w:tcW w:w="486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Accessories are installed straight and square in the required locations and within acceptable tolerances.</w:t>
            </w:r>
          </w:p>
        </w:tc>
      </w:tr>
      <w:tr w:rsidR="00000000" w:rsidTr="003E3989">
        <w:tc>
          <w:tcPr>
            <w:tcW w:w="404"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2.5</w:t>
            </w:r>
          </w:p>
        </w:tc>
        <w:tc>
          <w:tcPr>
            <w:tcW w:w="486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 xml:space="preserve">Cables and conductors are terminated at accessories in accordance with manufacture's specifications and regulatory requirements </w:t>
            </w:r>
          </w:p>
        </w:tc>
      </w:tr>
      <w:tr w:rsidR="00000000" w:rsidTr="003E3989">
        <w:tc>
          <w:tcPr>
            <w:tcW w:w="404"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2.6</w:t>
            </w:r>
          </w:p>
        </w:tc>
        <w:tc>
          <w:tcPr>
            <w:tcW w:w="486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Procedures for referring non-routine events to immediate supervisor for directions are followed.</w:t>
            </w:r>
          </w:p>
        </w:tc>
      </w:tr>
      <w:tr w:rsidR="00000000" w:rsidTr="003E3989">
        <w:tc>
          <w:tcPr>
            <w:tcW w:w="404"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2.7</w:t>
            </w:r>
          </w:p>
        </w:tc>
        <w:tc>
          <w:tcPr>
            <w:tcW w:w="486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The installation</w:t>
            </w:r>
            <w:r w:rsidRPr="006371B8">
              <w:t xml:space="preserve"> is carried out efficiently without waste of materials or damage to apparatus, circuits or the surrounding environment and using sustainable energy practices.</w:t>
            </w:r>
          </w:p>
        </w:tc>
      </w:tr>
      <w:tr w:rsidR="00000000" w:rsidTr="003E3989">
        <w:tc>
          <w:tcPr>
            <w:tcW w:w="404"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3</w:t>
            </w:r>
          </w:p>
        </w:tc>
        <w:tc>
          <w:tcPr>
            <w:tcW w:w="2296" w:type="dxa"/>
            <w:vMerge w:val="restart"/>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Complete installation work and report.</w:t>
            </w:r>
          </w:p>
        </w:tc>
        <w:tc>
          <w:tcPr>
            <w:tcW w:w="90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3.1</w:t>
            </w:r>
          </w:p>
        </w:tc>
        <w:tc>
          <w:tcPr>
            <w:tcW w:w="486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OHS work completion risk control measures and procedures are followed.</w:t>
            </w:r>
          </w:p>
        </w:tc>
      </w:tr>
      <w:tr w:rsidR="00000000" w:rsidTr="003E3989">
        <w:tc>
          <w:tcPr>
            <w:tcW w:w="404"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3.2</w:t>
            </w:r>
          </w:p>
        </w:tc>
        <w:tc>
          <w:tcPr>
            <w:tcW w:w="486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Work site is cleaned and made safe in accordance with established procedures.</w:t>
            </w:r>
          </w:p>
        </w:tc>
      </w:tr>
      <w:tr w:rsidR="00000000" w:rsidRPr="006371B8" w:rsidTr="003E3989">
        <w:tc>
          <w:tcPr>
            <w:tcW w:w="404"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3.3</w:t>
            </w:r>
          </w:p>
        </w:tc>
        <w:tc>
          <w:tcPr>
            <w:tcW w:w="4860" w:type="dxa"/>
            <w:tcBorders>
              <w:top w:val="nil"/>
              <w:left w:val="nil"/>
              <w:bottom w:val="nil"/>
              <w:right w:val="nil"/>
            </w:tcBorders>
            <w:tcMar>
              <w:top w:w="0" w:type="dxa"/>
              <w:left w:w="62" w:type="dxa"/>
              <w:bottom w:w="0" w:type="dxa"/>
              <w:right w:w="62" w:type="dxa"/>
            </w:tcMar>
          </w:tcPr>
          <w:p w:rsidR="00000000" w:rsidRPr="006371B8" w:rsidRDefault="003E3989" w:rsidP="006371B8">
            <w:pPr>
              <w:pStyle w:val="BodyText"/>
            </w:pPr>
            <w:r w:rsidRPr="006371B8">
              <w:t>Work supervisor is notified of the completion of the installation work in accordance with est</w:t>
            </w:r>
            <w:r w:rsidRPr="006371B8">
              <w:t>ablished routines.</w:t>
            </w:r>
          </w:p>
        </w:tc>
      </w:tr>
    </w:tbl>
    <w:p w:rsidR="003E3989" w:rsidRDefault="003E3989" w:rsidP="006371B8">
      <w:pPr>
        <w:pStyle w:val="BodyText"/>
      </w:pPr>
    </w:p>
    <w:p w:rsidR="003E3989" w:rsidRDefault="003E3989" w:rsidP="006371B8">
      <w:pPr>
        <w:pStyle w:val="BodyText"/>
      </w:pPr>
    </w:p>
    <w:p w:rsidR="00000000" w:rsidRPr="006371B8" w:rsidRDefault="003E3989" w:rsidP="006371B8">
      <w:pPr>
        <w:pStyle w:val="Heading1"/>
      </w:pPr>
      <w:bookmarkStart w:id="9" w:name="O_263194"/>
      <w:bookmarkEnd w:id="9"/>
      <w:r w:rsidRPr="006371B8">
        <w:t>Required Skills and Knowledge</w:t>
      </w:r>
    </w:p>
    <w:tbl>
      <w:tblPr>
        <w:tblW w:w="0" w:type="auto"/>
        <w:tblLayout w:type="fixed"/>
        <w:tblCellMar>
          <w:left w:w="62" w:type="dxa"/>
          <w:right w:w="62" w:type="dxa"/>
        </w:tblCellMar>
        <w:tblLook w:val="0000" w:firstRow="0" w:lastRow="0" w:firstColumn="0" w:lastColumn="0" w:noHBand="0" w:noVBand="0"/>
      </w:tblPr>
      <w:tblGrid>
        <w:gridCol w:w="2700"/>
        <w:gridCol w:w="1080"/>
        <w:gridCol w:w="4680"/>
      </w:tblGrid>
      <w:tr w:rsidR="006371B8" w:rsidRPr="006371B8" w:rsidTr="003E3989">
        <w:trPr>
          <w:tblHeader/>
        </w:trPr>
        <w:tc>
          <w:tcPr>
            <w:tcW w:w="8460" w:type="dxa"/>
            <w:gridSpan w:val="3"/>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rPr>
                <w:rStyle w:val="SpecialBold"/>
              </w:rPr>
              <w:t>REQUIRED SKILLS AND KNOWLEDGE</w:t>
            </w:r>
          </w:p>
        </w:tc>
      </w:tr>
      <w:tr w:rsidR="006371B8" w:rsidTr="003E3989">
        <w:tc>
          <w:tcPr>
            <w:tcW w:w="8460" w:type="dxa"/>
            <w:gridSpan w:val="3"/>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rPr>
                <w:rStyle w:val="SpecialBold"/>
              </w:rPr>
              <w:t>7</w:t>
            </w:r>
            <w:r w:rsidRPr="006371B8">
              <w:t>) This describes the essential skills and knowledge and their level, required for this unit.</w:t>
            </w:r>
          </w:p>
        </w:tc>
      </w:tr>
      <w:tr w:rsidR="006371B8" w:rsidTr="003E3989">
        <w:tc>
          <w:tcPr>
            <w:tcW w:w="8460" w:type="dxa"/>
            <w:gridSpan w:val="3"/>
            <w:tcBorders>
              <w:top w:val="nil"/>
              <w:left w:val="nil"/>
              <w:bottom w:val="nil"/>
              <w:right w:val="nil"/>
            </w:tcBorders>
            <w:tcMar>
              <w:top w:w="0" w:type="dxa"/>
              <w:left w:w="62" w:type="dxa"/>
              <w:bottom w:w="0" w:type="dxa"/>
              <w:right w:w="62" w:type="dxa"/>
            </w:tcMar>
          </w:tcPr>
          <w:p w:rsidR="00000000" w:rsidRPr="006371B8" w:rsidRDefault="003E3989" w:rsidP="006371B8">
            <w:pPr>
              <w:pStyle w:val="BodyText"/>
            </w:pPr>
            <w:r w:rsidRPr="006371B8">
              <w:t>Evidence shall show that knowledge has been acqu</w:t>
            </w:r>
            <w:r w:rsidRPr="006371B8">
              <w:t xml:space="preserve">ired of safe working practices and assembling and setting up fixed audio/video components and systems in buildings and premises. </w:t>
            </w:r>
          </w:p>
          <w:p w:rsidR="00000000" w:rsidRPr="006371B8" w:rsidRDefault="003E3989" w:rsidP="006371B8">
            <w:pPr>
              <w:pStyle w:val="BodyText"/>
            </w:pPr>
            <w:r w:rsidRPr="006371B8">
              <w:t>All knowledge and skills detailed in this unit should be contextualised to current industry practices and technologies.</w:t>
            </w:r>
          </w:p>
          <w:p w:rsidR="00000000" w:rsidRDefault="003E3989" w:rsidP="006371B8">
            <w:pPr>
              <w:pStyle w:val="BodyText"/>
              <w:rPr>
                <w:lang w:val="en-NZ"/>
              </w:rPr>
            </w:pPr>
            <w:r w:rsidRPr="006371B8">
              <w:t>The ex</w:t>
            </w:r>
            <w:r w:rsidRPr="006371B8">
              <w:t>tent of the essential knowledge and associated skills (EKAS) required is given in Volume 2 - Part 2.2 EKAS.  It forms an integral part of this unit.</w:t>
            </w:r>
          </w:p>
        </w:tc>
      </w:tr>
      <w:tr w:rsidR="00000000" w:rsidTr="003E3989">
        <w:tc>
          <w:tcPr>
            <w:tcW w:w="270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108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468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p>
        </w:tc>
      </w:tr>
      <w:tr w:rsidR="00000000" w:rsidTr="003E3989">
        <w:tc>
          <w:tcPr>
            <w:tcW w:w="270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108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2.9.16.1</w:t>
            </w:r>
          </w:p>
        </w:tc>
        <w:tc>
          <w:tcPr>
            <w:tcW w:w="468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Sound reproduction fundamentals</w:t>
            </w:r>
          </w:p>
        </w:tc>
      </w:tr>
      <w:tr w:rsidR="00000000" w:rsidTr="003E3989">
        <w:tc>
          <w:tcPr>
            <w:tcW w:w="270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108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2.9.17.1</w:t>
            </w:r>
          </w:p>
        </w:tc>
        <w:tc>
          <w:tcPr>
            <w:tcW w:w="468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Audio reproduction, electronic components</w:t>
            </w:r>
          </w:p>
        </w:tc>
      </w:tr>
      <w:tr w:rsidR="00000000" w:rsidTr="003E3989">
        <w:tc>
          <w:tcPr>
            <w:tcW w:w="270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108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2.9.18</w:t>
            </w:r>
          </w:p>
        </w:tc>
        <w:tc>
          <w:tcPr>
            <w:tcW w:w="468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Audio reproduction, speaker fundamentals</w:t>
            </w:r>
          </w:p>
        </w:tc>
      </w:tr>
      <w:tr w:rsidR="00000000" w:rsidTr="003E3989">
        <w:tc>
          <w:tcPr>
            <w:tcW w:w="270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108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2.9.19</w:t>
            </w:r>
          </w:p>
        </w:tc>
        <w:tc>
          <w:tcPr>
            <w:tcW w:w="468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Audio/video recording and replay components repair basics</w:t>
            </w:r>
          </w:p>
        </w:tc>
      </w:tr>
      <w:tr w:rsidR="00000000" w:rsidTr="003E3989">
        <w:tc>
          <w:tcPr>
            <w:tcW w:w="270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108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2.9.43</w:t>
            </w:r>
          </w:p>
        </w:tc>
        <w:tc>
          <w:tcPr>
            <w:tcW w:w="468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Video systems installation</w:t>
            </w:r>
          </w:p>
        </w:tc>
      </w:tr>
      <w:tr w:rsidR="00000000" w:rsidTr="003E3989">
        <w:tc>
          <w:tcPr>
            <w:tcW w:w="270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108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2.9.81</w:t>
            </w:r>
          </w:p>
        </w:tc>
        <w:tc>
          <w:tcPr>
            <w:tcW w:w="468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Audio/video control equipment</w:t>
            </w:r>
          </w:p>
        </w:tc>
      </w:tr>
      <w:tr w:rsidR="00000000" w:rsidTr="003E3989">
        <w:tc>
          <w:tcPr>
            <w:tcW w:w="270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108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468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p>
        </w:tc>
      </w:tr>
      <w:tr w:rsidR="00000000" w:rsidRPr="006371B8" w:rsidTr="003E3989">
        <w:tc>
          <w:tcPr>
            <w:tcW w:w="270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108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2.18.9</w:t>
            </w:r>
          </w:p>
        </w:tc>
        <w:tc>
          <w:tcPr>
            <w:tcW w:w="4680" w:type="dxa"/>
            <w:tcBorders>
              <w:top w:val="nil"/>
              <w:left w:val="nil"/>
              <w:bottom w:val="nil"/>
              <w:right w:val="nil"/>
            </w:tcBorders>
            <w:tcMar>
              <w:top w:w="0" w:type="dxa"/>
              <w:left w:w="62" w:type="dxa"/>
              <w:bottom w:w="0" w:type="dxa"/>
              <w:right w:w="62" w:type="dxa"/>
            </w:tcMar>
          </w:tcPr>
          <w:p w:rsidR="00000000" w:rsidRPr="006371B8" w:rsidRDefault="003E3989" w:rsidP="006371B8">
            <w:pPr>
              <w:pStyle w:val="BodyText"/>
            </w:pPr>
            <w:r w:rsidRPr="006371B8">
              <w:t>Electronic Safe working practices</w:t>
            </w:r>
          </w:p>
        </w:tc>
      </w:tr>
    </w:tbl>
    <w:p w:rsidR="003E3989" w:rsidRDefault="003E3989" w:rsidP="006371B8">
      <w:pPr>
        <w:pStyle w:val="BodyText"/>
      </w:pPr>
    </w:p>
    <w:p w:rsidR="003E3989" w:rsidRDefault="003E3989" w:rsidP="006371B8">
      <w:pPr>
        <w:pStyle w:val="BodyText"/>
      </w:pPr>
    </w:p>
    <w:p w:rsidR="00000000" w:rsidRPr="006371B8" w:rsidRDefault="003E3989" w:rsidP="006371B8">
      <w:pPr>
        <w:pStyle w:val="Heading1"/>
      </w:pPr>
      <w:bookmarkStart w:id="10" w:name="O_247387"/>
      <w:bookmarkEnd w:id="10"/>
      <w:r w:rsidRPr="006371B8">
        <w:t>Evidence Guide</w:t>
      </w:r>
    </w:p>
    <w:tbl>
      <w:tblPr>
        <w:tblW w:w="0" w:type="auto"/>
        <w:tblLayout w:type="fixed"/>
        <w:tblCellMar>
          <w:left w:w="62" w:type="dxa"/>
          <w:right w:w="62" w:type="dxa"/>
        </w:tblCellMar>
        <w:tblLook w:val="0000" w:firstRow="0" w:lastRow="0" w:firstColumn="0" w:lastColumn="0" w:noHBand="0" w:noVBand="0"/>
      </w:tblPr>
      <w:tblGrid>
        <w:gridCol w:w="2160"/>
        <w:gridCol w:w="720"/>
        <w:gridCol w:w="540"/>
        <w:gridCol w:w="540"/>
        <w:gridCol w:w="4500"/>
      </w:tblGrid>
      <w:tr w:rsidR="006371B8" w:rsidRPr="006371B8" w:rsidTr="003E3989">
        <w:trPr>
          <w:tblHeader/>
        </w:trPr>
        <w:tc>
          <w:tcPr>
            <w:tcW w:w="8460" w:type="dxa"/>
            <w:gridSpan w:val="5"/>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rPr>
                <w:rStyle w:val="SpecialBold"/>
              </w:rPr>
              <w:t>EVIDENCE GUIDE</w:t>
            </w:r>
          </w:p>
        </w:tc>
      </w:tr>
      <w:tr w:rsidR="006371B8" w:rsidRPr="006371B8" w:rsidTr="003E3989">
        <w:tc>
          <w:tcPr>
            <w:tcW w:w="8460" w:type="dxa"/>
            <w:gridSpan w:val="5"/>
            <w:tcBorders>
              <w:top w:val="nil"/>
              <w:left w:val="nil"/>
              <w:bottom w:val="nil"/>
              <w:right w:val="nil"/>
            </w:tcBorders>
            <w:tcMar>
              <w:top w:w="0" w:type="dxa"/>
              <w:left w:w="62" w:type="dxa"/>
              <w:bottom w:w="0" w:type="dxa"/>
              <w:right w:w="62" w:type="dxa"/>
            </w:tcMar>
          </w:tcPr>
          <w:p w:rsidR="00000000" w:rsidRPr="006371B8" w:rsidRDefault="003E3989" w:rsidP="006371B8">
            <w:pPr>
              <w:pStyle w:val="BodyText"/>
            </w:pPr>
            <w:r w:rsidRPr="006371B8">
              <w:rPr>
                <w:rStyle w:val="SpecialBold"/>
              </w:rPr>
              <w:t>9</w:t>
            </w:r>
            <w:r w:rsidRPr="006371B8">
              <w:t>) The evidence guide provides advice on assessment and must be read in conjunction with the Performance Criteria, Required Skills and Knowledge, the Range Statement and the Assessment Guidelines for this Training</w:t>
            </w:r>
            <w:r w:rsidRPr="006371B8">
              <w:t xml:space="preserve"> Package. .</w:t>
            </w:r>
          </w:p>
          <w:p w:rsidR="00000000" w:rsidRDefault="003E3989" w:rsidP="006371B8">
            <w:pPr>
              <w:pStyle w:val="BodyText"/>
              <w:rPr>
                <w:lang w:val="en-NZ"/>
              </w:rPr>
            </w:pPr>
            <w:r w:rsidRPr="006371B8">
              <w:t>The Evidence Guide forms an integral part of this unit. It must be used in conjunction with all parts of the unit and performed in accordance with the Assessment Guidelines of this Training Package.</w:t>
            </w:r>
          </w:p>
        </w:tc>
      </w:tr>
      <w:tr w:rsidR="006371B8" w:rsidRPr="006371B8" w:rsidTr="003E3989">
        <w:tc>
          <w:tcPr>
            <w:tcW w:w="2160" w:type="dxa"/>
            <w:tcBorders>
              <w:top w:val="nil"/>
              <w:left w:val="nil"/>
              <w:bottom w:val="nil"/>
              <w:right w:val="nil"/>
            </w:tcBorders>
            <w:tcMar>
              <w:top w:w="0" w:type="dxa"/>
              <w:left w:w="62" w:type="dxa"/>
              <w:bottom w:w="0" w:type="dxa"/>
              <w:right w:w="62" w:type="dxa"/>
            </w:tcMar>
          </w:tcPr>
          <w:p w:rsidR="00000000" w:rsidRPr="006371B8" w:rsidRDefault="003E3989" w:rsidP="006371B8">
            <w:pPr>
              <w:pStyle w:val="BodyText"/>
            </w:pPr>
            <w:r w:rsidRPr="006371B8">
              <w:rPr>
                <w:rStyle w:val="SpecialBold"/>
              </w:rPr>
              <w:t>Overview of Assessment</w:t>
            </w:r>
          </w:p>
        </w:tc>
        <w:tc>
          <w:tcPr>
            <w:tcW w:w="6300" w:type="dxa"/>
            <w:gridSpan w:val="4"/>
            <w:tcBorders>
              <w:top w:val="nil"/>
              <w:left w:val="nil"/>
              <w:bottom w:val="nil"/>
              <w:right w:val="nil"/>
            </w:tcBorders>
            <w:tcMar>
              <w:top w:w="0" w:type="dxa"/>
              <w:left w:w="62" w:type="dxa"/>
              <w:bottom w:w="0" w:type="dxa"/>
              <w:right w:w="62" w:type="dxa"/>
            </w:tcMar>
          </w:tcPr>
          <w:p w:rsidR="00000000" w:rsidRPr="006371B8" w:rsidRDefault="003E3989" w:rsidP="006371B8">
            <w:pPr>
              <w:pStyle w:val="BodyText"/>
            </w:pPr>
            <w:r w:rsidRPr="006371B8">
              <w:rPr>
                <w:rStyle w:val="SpecialBold"/>
              </w:rPr>
              <w:t>9</w:t>
            </w:r>
            <w:r w:rsidRPr="006371B8">
              <w:t>.</w:t>
            </w:r>
            <w:r w:rsidRPr="006371B8">
              <w:rPr>
                <w:rStyle w:val="SpecialBold"/>
              </w:rPr>
              <w:t>1</w:t>
            </w:r>
            <w:r w:rsidRPr="006371B8">
              <w:t xml:space="preserve">) </w:t>
            </w:r>
          </w:p>
          <w:p w:rsidR="00000000" w:rsidRPr="006371B8" w:rsidRDefault="003E3989" w:rsidP="006371B8">
            <w:pPr>
              <w:pStyle w:val="BodyText"/>
            </w:pPr>
            <w:r w:rsidRPr="006371B8">
              <w:t>Longitudinal competency development approaches to assessment, such as Profiling, require data to be reliably gathered in a form that can be consistently interpreted over time. This approach is best utilised in Apprenticeship programs and reduces assessment</w:t>
            </w:r>
            <w:r w:rsidRPr="006371B8">
              <w:t xml:space="preserve"> intervention. It is the Industry-preferred model for apprenticeships. However, where summative (or final) assessment is used it must include the application of the competency in the normal work environment or, at a minimum, the application of the competen</w:t>
            </w:r>
            <w:r w:rsidRPr="006371B8">
              <w:t>cy in a realistically simulated work environment. It is recognised that, in some circumstances, assessment in part or full can occur outside the workplace. However, it must be in accord with industry and regulatory policy.</w:t>
            </w:r>
          </w:p>
          <w:p w:rsidR="00000000" w:rsidRPr="006371B8" w:rsidRDefault="003E3989" w:rsidP="006371B8">
            <w:pPr>
              <w:pStyle w:val="BodyText"/>
            </w:pPr>
            <w:r w:rsidRPr="006371B8">
              <w:t>Methods chosen for a particular a</w:t>
            </w:r>
            <w:r w:rsidRPr="006371B8">
              <w:t>ssessment will be influenced by various factors. These include the extent of the assessment, the most effective locations for the assessment activities to take place, access to physical resources, additional safety measures that may be required and the cri</w:t>
            </w:r>
            <w:r w:rsidRPr="006371B8">
              <w:t>tical nature of the competencies being assessed.</w:t>
            </w:r>
          </w:p>
          <w:p w:rsidR="00000000" w:rsidRPr="006371B8" w:rsidRDefault="003E3989" w:rsidP="006371B8">
            <w:pPr>
              <w:pStyle w:val="BodyText"/>
            </w:pPr>
            <w:r w:rsidRPr="006371B8">
              <w:t>The critical safety nature of working with electricity, electrical equipment, gas or any other hazardous substance/material carries risk in deeming a person competent. Sources of evidence need to be 'rich' i</w:t>
            </w:r>
            <w:r w:rsidRPr="006371B8">
              <w:t>n nature to minimise error in judgment.</w:t>
            </w:r>
          </w:p>
          <w:p w:rsidR="00000000" w:rsidRDefault="003E3989" w:rsidP="006371B8">
            <w:pPr>
              <w:pStyle w:val="BodyText"/>
              <w:rPr>
                <w:lang w:val="en-NZ"/>
              </w:rPr>
            </w:pPr>
            <w:r w:rsidRPr="006371B8">
              <w:t>Activities associated with normal everyday work influence decisions about how/how much the data gathered will contribute to its 'richness'. Some skills are more critical to safety and operational requirements while t</w:t>
            </w:r>
            <w:r w:rsidRPr="006371B8">
              <w:t>he same skills may be more or less frequently practised. These points are raised for the assessors to consider when choosing an assessment method and developing assessment instruments. Sample assessment instruments are included for Assessors in the Assessm</w:t>
            </w:r>
            <w:r w:rsidRPr="006371B8">
              <w:t>ent Guidelines of this Training Package.</w:t>
            </w:r>
          </w:p>
        </w:tc>
      </w:tr>
      <w:tr w:rsidR="006371B8" w:rsidTr="003E3989">
        <w:tc>
          <w:tcPr>
            <w:tcW w:w="2160" w:type="dxa"/>
            <w:vMerge w:val="restart"/>
            <w:tcBorders>
              <w:top w:val="nil"/>
              <w:left w:val="nil"/>
              <w:bottom w:val="nil"/>
              <w:right w:val="nil"/>
            </w:tcBorders>
            <w:tcMar>
              <w:top w:w="0" w:type="dxa"/>
              <w:left w:w="62" w:type="dxa"/>
              <w:bottom w:w="0" w:type="dxa"/>
              <w:right w:w="62" w:type="dxa"/>
            </w:tcMar>
          </w:tcPr>
          <w:p w:rsidR="00000000" w:rsidRPr="006371B8" w:rsidRDefault="003E3989" w:rsidP="006371B8">
            <w:pPr>
              <w:pStyle w:val="BodyText"/>
            </w:pPr>
            <w:r w:rsidRPr="006371B8">
              <w:rPr>
                <w:rStyle w:val="SpecialBold"/>
              </w:rPr>
              <w:lastRenderedPageBreak/>
              <w:t>Critical aspects of evidence required to demonstrate competency in this unit</w:t>
            </w:r>
          </w:p>
        </w:tc>
        <w:tc>
          <w:tcPr>
            <w:tcW w:w="6300" w:type="dxa"/>
            <w:gridSpan w:val="4"/>
            <w:tcBorders>
              <w:top w:val="nil"/>
              <w:left w:val="nil"/>
              <w:bottom w:val="nil"/>
              <w:right w:val="nil"/>
            </w:tcBorders>
            <w:tcMar>
              <w:top w:w="0" w:type="dxa"/>
              <w:left w:w="62" w:type="dxa"/>
              <w:bottom w:w="0" w:type="dxa"/>
              <w:right w:w="62" w:type="dxa"/>
            </w:tcMar>
          </w:tcPr>
          <w:p w:rsidR="00000000" w:rsidRPr="006371B8" w:rsidRDefault="003E3989" w:rsidP="006371B8">
            <w:pPr>
              <w:pStyle w:val="BodyText"/>
            </w:pPr>
            <w:r w:rsidRPr="006371B8">
              <w:rPr>
                <w:rStyle w:val="SpecialBold"/>
              </w:rPr>
              <w:t>9</w:t>
            </w:r>
            <w:r w:rsidRPr="006371B8">
              <w:t>.</w:t>
            </w:r>
            <w:r w:rsidRPr="006371B8">
              <w:rPr>
                <w:rStyle w:val="SpecialBold"/>
              </w:rPr>
              <w:t>2</w:t>
            </w:r>
            <w:r w:rsidRPr="006371B8">
              <w:t xml:space="preserve">) </w:t>
            </w:r>
          </w:p>
          <w:p w:rsidR="00000000" w:rsidRDefault="003E3989" w:rsidP="006371B8">
            <w:pPr>
              <w:pStyle w:val="BodyText"/>
              <w:rPr>
                <w:lang w:val="en-NZ"/>
              </w:rPr>
            </w:pPr>
            <w:r w:rsidRPr="006371B8">
              <w:t>Before the critical aspects of evidence are considered all prerequisites shall be met.</w:t>
            </w:r>
          </w:p>
        </w:tc>
      </w:tr>
      <w:tr w:rsidR="006371B8" w:rsidTr="003E3989">
        <w:tc>
          <w:tcPr>
            <w:tcW w:w="2160" w:type="dxa"/>
            <w:vMerge/>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6300" w:type="dxa"/>
            <w:gridSpan w:val="4"/>
            <w:tcBorders>
              <w:top w:val="nil"/>
              <w:left w:val="nil"/>
              <w:bottom w:val="nil"/>
              <w:right w:val="nil"/>
            </w:tcBorders>
            <w:tcMar>
              <w:top w:w="0" w:type="dxa"/>
              <w:left w:w="62" w:type="dxa"/>
              <w:bottom w:w="0" w:type="dxa"/>
              <w:right w:w="62" w:type="dxa"/>
            </w:tcMar>
          </w:tcPr>
          <w:p w:rsidR="00000000" w:rsidRPr="006371B8" w:rsidRDefault="003E3989" w:rsidP="006371B8">
            <w:pPr>
              <w:pStyle w:val="BodyText"/>
            </w:pPr>
            <w:r w:rsidRPr="006371B8">
              <w:t>Evidence for competence in this unit shall be considered holistically.  Each Element and associated performance criteria shall be demonstrated on at least two occasions in accordance with the 'Assessment Guidelines - UEE07'.  Evidence shall also comprise:</w:t>
            </w:r>
          </w:p>
          <w:p w:rsidR="00000000" w:rsidRDefault="003E3989" w:rsidP="006371B8">
            <w:pPr>
              <w:pStyle w:val="ListBullet"/>
              <w:rPr>
                <w:lang w:val="en-NZ"/>
              </w:rPr>
            </w:pPr>
            <w:r w:rsidRPr="006371B8">
              <w:t>A representative body of work performance demonstrated within the timeframes typically expected of the discipline, work function and industrial environment. In particular this shall incorporate evidence that shows a candidate is able to:</w:t>
            </w:r>
          </w:p>
        </w:tc>
      </w:tr>
      <w:tr w:rsidR="006371B8" w:rsidTr="003E3989">
        <w:tc>
          <w:tcPr>
            <w:tcW w:w="216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p>
        </w:tc>
        <w:tc>
          <w:tcPr>
            <w:tcW w:w="6300" w:type="dxa"/>
            <w:gridSpan w:val="4"/>
            <w:tcBorders>
              <w:top w:val="nil"/>
              <w:left w:val="nil"/>
              <w:bottom w:val="nil"/>
              <w:right w:val="nil"/>
            </w:tcBorders>
            <w:tcMar>
              <w:top w:w="0" w:type="dxa"/>
              <w:left w:w="62" w:type="dxa"/>
              <w:bottom w:w="0" w:type="dxa"/>
              <w:right w:w="62" w:type="dxa"/>
            </w:tcMar>
          </w:tcPr>
          <w:p w:rsidR="00000000" w:rsidRPr="006371B8" w:rsidRDefault="003E3989" w:rsidP="006371B8">
            <w:pPr>
              <w:pStyle w:val="ListBullet2"/>
            </w:pPr>
            <w:r w:rsidRPr="006371B8">
              <w:t>Implement Oc</w:t>
            </w:r>
            <w:r w:rsidRPr="006371B8">
              <w:t>cupational Health and Safety workplace procedures and practices, including the use of risk control measures as specified in the performance criteria and range statement</w:t>
            </w:r>
          </w:p>
          <w:p w:rsidR="00000000" w:rsidRPr="006371B8" w:rsidRDefault="003E3989" w:rsidP="006371B8">
            <w:pPr>
              <w:pStyle w:val="ListBullet2"/>
            </w:pPr>
            <w:r w:rsidRPr="006371B8">
              <w:t>Apply sustainable energy principles and practices as specified in the performance criteria and range statement</w:t>
            </w:r>
          </w:p>
          <w:p w:rsidR="00000000" w:rsidRPr="006371B8" w:rsidRDefault="003E3989" w:rsidP="006371B8">
            <w:pPr>
              <w:pStyle w:val="ListBullet2"/>
            </w:pPr>
            <w:r w:rsidRPr="006371B8">
              <w:t>Demonstrate an understanding of the essential knowledge and associated skills as described in this unit.  It may be required by some jurisdiction</w:t>
            </w:r>
            <w:r w:rsidRPr="006371B8">
              <w:t>s that RTOs provide a percentile graded result for the purpose of regulatory or licensing requirements.</w:t>
            </w:r>
          </w:p>
          <w:p w:rsidR="00000000" w:rsidRPr="006371B8" w:rsidRDefault="003E3989" w:rsidP="006371B8">
            <w:pPr>
              <w:pStyle w:val="ListBullet2"/>
            </w:pPr>
            <w:r w:rsidRPr="006371B8">
              <w:t>Demonstrate an appropriate level of skills enabling employment</w:t>
            </w:r>
          </w:p>
          <w:p w:rsidR="00000000" w:rsidRDefault="003E3989" w:rsidP="006371B8">
            <w:pPr>
              <w:pStyle w:val="ListBullet2"/>
              <w:rPr>
                <w:lang w:val="en-NZ"/>
              </w:rPr>
            </w:pPr>
            <w:r w:rsidRPr="006371B8">
              <w:t>Conduct work observing the relevant Anti Discrimination legislation, regulations, polices</w:t>
            </w:r>
            <w:r w:rsidRPr="006371B8">
              <w:t xml:space="preserve"> and workplace procedures</w:t>
            </w:r>
          </w:p>
        </w:tc>
      </w:tr>
      <w:tr w:rsidR="006371B8" w:rsidTr="003E3989">
        <w:tc>
          <w:tcPr>
            <w:tcW w:w="216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p>
        </w:tc>
        <w:tc>
          <w:tcPr>
            <w:tcW w:w="6300" w:type="dxa"/>
            <w:gridSpan w:val="4"/>
            <w:tcBorders>
              <w:top w:val="nil"/>
              <w:left w:val="nil"/>
              <w:bottom w:val="nil"/>
              <w:right w:val="nil"/>
            </w:tcBorders>
            <w:tcMar>
              <w:top w:w="0" w:type="dxa"/>
              <w:left w:w="62" w:type="dxa"/>
              <w:bottom w:w="0" w:type="dxa"/>
              <w:right w:w="62" w:type="dxa"/>
            </w:tcMar>
          </w:tcPr>
          <w:p w:rsidR="00000000" w:rsidRDefault="003E3989" w:rsidP="006371B8">
            <w:pPr>
              <w:pStyle w:val="ListBullet"/>
              <w:rPr>
                <w:lang w:val="en-NZ"/>
              </w:rPr>
            </w:pPr>
            <w:r w:rsidRPr="006371B8">
              <w:t>Demonstrated consistent performance across a representative range of contexts from the prescribed items below:</w:t>
            </w:r>
          </w:p>
        </w:tc>
      </w:tr>
      <w:tr w:rsidR="006371B8" w:rsidTr="003E3989">
        <w:tc>
          <w:tcPr>
            <w:tcW w:w="216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p>
        </w:tc>
        <w:tc>
          <w:tcPr>
            <w:tcW w:w="6300" w:type="dxa"/>
            <w:gridSpan w:val="4"/>
            <w:tcBorders>
              <w:top w:val="nil"/>
              <w:left w:val="nil"/>
              <w:bottom w:val="nil"/>
              <w:right w:val="nil"/>
            </w:tcBorders>
            <w:tcMar>
              <w:top w:w="0" w:type="dxa"/>
              <w:left w:w="62" w:type="dxa"/>
              <w:bottom w:w="0" w:type="dxa"/>
              <w:right w:w="62" w:type="dxa"/>
            </w:tcMar>
          </w:tcPr>
          <w:p w:rsidR="00000000" w:rsidRDefault="003E3989" w:rsidP="006371B8">
            <w:pPr>
              <w:pStyle w:val="ListBullet2"/>
              <w:rPr>
                <w:lang w:val="en-NZ"/>
              </w:rPr>
            </w:pPr>
            <w:r w:rsidRPr="006371B8">
              <w:t>Assemble and set up fixed audio/video components and systems in buildings and premises as described in 8) a</w:t>
            </w:r>
            <w:r w:rsidRPr="006371B8">
              <w:t>nd including:</w:t>
            </w:r>
          </w:p>
        </w:tc>
      </w:tr>
      <w:tr w:rsidR="006371B8" w:rsidTr="003E3989">
        <w:tc>
          <w:tcPr>
            <w:tcW w:w="216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72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54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A</w:t>
            </w:r>
          </w:p>
        </w:tc>
        <w:tc>
          <w:tcPr>
            <w:tcW w:w="5040" w:type="dxa"/>
            <w:gridSpan w:val="2"/>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Reading and interpreting drawings of circuit arrangements and component locations.</w:t>
            </w:r>
          </w:p>
        </w:tc>
      </w:tr>
      <w:tr w:rsidR="006371B8" w:rsidTr="003E3989">
        <w:tc>
          <w:tcPr>
            <w:tcW w:w="216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72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54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B</w:t>
            </w:r>
          </w:p>
        </w:tc>
        <w:tc>
          <w:tcPr>
            <w:tcW w:w="5040" w:type="dxa"/>
            <w:gridSpan w:val="2"/>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Placing and securing components and accessories accurately.</w:t>
            </w:r>
          </w:p>
        </w:tc>
      </w:tr>
      <w:tr w:rsidR="006371B8" w:rsidTr="003E3989">
        <w:tc>
          <w:tcPr>
            <w:tcW w:w="216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72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54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C</w:t>
            </w:r>
          </w:p>
        </w:tc>
        <w:tc>
          <w:tcPr>
            <w:tcW w:w="5040" w:type="dxa"/>
            <w:gridSpan w:val="2"/>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Maintaining fire integrity.</w:t>
            </w:r>
          </w:p>
        </w:tc>
      </w:tr>
      <w:tr w:rsidR="006371B8" w:rsidTr="003E3989">
        <w:tc>
          <w:tcPr>
            <w:tcW w:w="216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72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54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D</w:t>
            </w:r>
          </w:p>
        </w:tc>
        <w:tc>
          <w:tcPr>
            <w:tcW w:w="5040" w:type="dxa"/>
            <w:gridSpan w:val="2"/>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Terminating cable and conductors correctly.</w:t>
            </w:r>
          </w:p>
        </w:tc>
      </w:tr>
      <w:tr w:rsidR="006371B8" w:rsidTr="003E3989">
        <w:tc>
          <w:tcPr>
            <w:tcW w:w="216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72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54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E</w:t>
            </w:r>
          </w:p>
        </w:tc>
        <w:tc>
          <w:tcPr>
            <w:tcW w:w="5040" w:type="dxa"/>
            <w:gridSpan w:val="2"/>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Connecting components to manufacturer's instructions.</w:t>
            </w:r>
          </w:p>
        </w:tc>
      </w:tr>
      <w:tr w:rsidR="006371B8" w:rsidTr="003E3989">
        <w:tc>
          <w:tcPr>
            <w:tcW w:w="216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72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54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F</w:t>
            </w:r>
          </w:p>
        </w:tc>
        <w:tc>
          <w:tcPr>
            <w:tcW w:w="5040" w:type="dxa"/>
            <w:gridSpan w:val="2"/>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Setting functional controls to customer's requirements.</w:t>
            </w:r>
          </w:p>
        </w:tc>
      </w:tr>
      <w:tr w:rsidR="006371B8" w:rsidTr="003E3989">
        <w:tc>
          <w:tcPr>
            <w:tcW w:w="216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72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54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G</w:t>
            </w:r>
          </w:p>
        </w:tc>
        <w:tc>
          <w:tcPr>
            <w:tcW w:w="5040" w:type="dxa"/>
            <w:gridSpan w:val="2"/>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Testing functional operation.</w:t>
            </w:r>
          </w:p>
        </w:tc>
      </w:tr>
      <w:tr w:rsidR="006371B8" w:rsidTr="003E3989">
        <w:tc>
          <w:tcPr>
            <w:tcW w:w="216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72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54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H</w:t>
            </w:r>
          </w:p>
        </w:tc>
        <w:tc>
          <w:tcPr>
            <w:tcW w:w="5040" w:type="dxa"/>
            <w:gridSpan w:val="2"/>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Completing necessary documentation including handing over all system/component documents to the customer.</w:t>
            </w:r>
          </w:p>
        </w:tc>
      </w:tr>
      <w:tr w:rsidR="006371B8" w:rsidTr="003E3989">
        <w:tc>
          <w:tcPr>
            <w:tcW w:w="216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72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54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I</w:t>
            </w:r>
          </w:p>
        </w:tc>
        <w:tc>
          <w:tcPr>
            <w:tcW w:w="5040" w:type="dxa"/>
            <w:gridSpan w:val="2"/>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Dealing with unplanned events by drawing on essential knowledge and skills to provide appropriate solutions incorporated in a holistic assessmen</w:t>
            </w:r>
            <w:r w:rsidRPr="006371B8">
              <w:t>t with the above listed items.</w:t>
            </w:r>
          </w:p>
        </w:tc>
      </w:tr>
      <w:tr w:rsidR="006371B8" w:rsidRPr="006371B8" w:rsidTr="003E3989">
        <w:tc>
          <w:tcPr>
            <w:tcW w:w="216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6300" w:type="dxa"/>
            <w:gridSpan w:val="4"/>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Note:</w:t>
            </w:r>
            <w:r w:rsidRPr="006371B8">
              <w:br/>
              <w:t>Successful completion of relevant vendor training may be used to contribute to evidence on which competency is deemed. In these cases the alignment of outcomes of vendor training with performance criteria and critica</w:t>
            </w:r>
            <w:r w:rsidRPr="006371B8">
              <w:t>l aspects of evidence shall be clearly identified.</w:t>
            </w:r>
          </w:p>
        </w:tc>
      </w:tr>
      <w:tr w:rsidR="006371B8" w:rsidTr="003E3989">
        <w:tc>
          <w:tcPr>
            <w:tcW w:w="2160" w:type="dxa"/>
            <w:tcBorders>
              <w:top w:val="nil"/>
              <w:left w:val="nil"/>
              <w:bottom w:val="nil"/>
              <w:right w:val="nil"/>
            </w:tcBorders>
            <w:tcMar>
              <w:top w:w="0" w:type="dxa"/>
              <w:left w:w="62" w:type="dxa"/>
              <w:bottom w:w="0" w:type="dxa"/>
              <w:right w:w="62" w:type="dxa"/>
            </w:tcMar>
          </w:tcPr>
          <w:p w:rsidR="00000000" w:rsidRPr="006371B8" w:rsidRDefault="003E3989" w:rsidP="006371B8">
            <w:pPr>
              <w:pStyle w:val="BodyText"/>
            </w:pPr>
            <w:r w:rsidRPr="006371B8">
              <w:rPr>
                <w:rStyle w:val="SpecialBold"/>
              </w:rPr>
              <w:lastRenderedPageBreak/>
              <w:t>Context of and specific resources for assessment</w:t>
            </w:r>
          </w:p>
        </w:tc>
        <w:tc>
          <w:tcPr>
            <w:tcW w:w="6300" w:type="dxa"/>
            <w:gridSpan w:val="4"/>
            <w:tcBorders>
              <w:top w:val="nil"/>
              <w:left w:val="nil"/>
              <w:bottom w:val="nil"/>
              <w:right w:val="nil"/>
            </w:tcBorders>
            <w:tcMar>
              <w:top w:w="0" w:type="dxa"/>
              <w:left w:w="62" w:type="dxa"/>
              <w:bottom w:w="0" w:type="dxa"/>
              <w:right w:w="62" w:type="dxa"/>
            </w:tcMar>
          </w:tcPr>
          <w:p w:rsidR="00000000" w:rsidRPr="006371B8" w:rsidRDefault="003E3989" w:rsidP="006371B8">
            <w:pPr>
              <w:pStyle w:val="BodyText"/>
            </w:pPr>
            <w:r w:rsidRPr="006371B8">
              <w:rPr>
                <w:rStyle w:val="SpecialBold"/>
              </w:rPr>
              <w:t>9</w:t>
            </w:r>
            <w:r w:rsidRPr="006371B8">
              <w:t>.</w:t>
            </w:r>
            <w:r w:rsidRPr="006371B8">
              <w:rPr>
                <w:rStyle w:val="SpecialBold"/>
              </w:rPr>
              <w:t>3</w:t>
            </w:r>
            <w:r w:rsidRPr="006371B8">
              <w:t xml:space="preserve">) </w:t>
            </w:r>
          </w:p>
          <w:p w:rsidR="00000000" w:rsidRPr="006371B8" w:rsidRDefault="003E3989" w:rsidP="006371B8">
            <w:pPr>
              <w:pStyle w:val="BodyText"/>
            </w:pPr>
            <w:r w:rsidRPr="006371B8">
              <w:t>This unit should be assessed as it relates to normal work practice using procedures, information and resources typical of a workplace. This should include:</w:t>
            </w:r>
          </w:p>
          <w:p w:rsidR="00000000" w:rsidRPr="006371B8" w:rsidRDefault="003E3989" w:rsidP="006371B8">
            <w:pPr>
              <w:pStyle w:val="ListBullet"/>
            </w:pPr>
            <w:r w:rsidRPr="006371B8">
              <w:t>OHS policy and work procedures and instructions.</w:t>
            </w:r>
          </w:p>
          <w:p w:rsidR="00000000" w:rsidRPr="006371B8" w:rsidRDefault="003E3989" w:rsidP="006371B8">
            <w:pPr>
              <w:pStyle w:val="ListBullet"/>
            </w:pPr>
            <w:r w:rsidRPr="006371B8">
              <w:t>Suitable work environment, facilities, equipment an</w:t>
            </w:r>
            <w:r w:rsidRPr="006371B8">
              <w:t>d materials to undertake actual work as prescribed by this unit.</w:t>
            </w:r>
          </w:p>
          <w:p w:rsidR="00000000" w:rsidRPr="006371B8" w:rsidRDefault="003E3989" w:rsidP="006371B8">
            <w:pPr>
              <w:pStyle w:val="BodyText"/>
            </w:pPr>
            <w:r w:rsidRPr="006371B8">
              <w:t>These should be part of the formal learning/assessment environment.</w:t>
            </w:r>
          </w:p>
          <w:p w:rsidR="00000000" w:rsidRPr="006371B8" w:rsidRDefault="003E3989" w:rsidP="006371B8">
            <w:pPr>
              <w:pStyle w:val="BodyText"/>
            </w:pPr>
            <w:r w:rsidRPr="006371B8">
              <w:t>Note:</w:t>
            </w:r>
          </w:p>
          <w:p w:rsidR="00000000" w:rsidRDefault="003E3989" w:rsidP="006371B8">
            <w:pPr>
              <w:pStyle w:val="BodyText"/>
              <w:rPr>
                <w:lang w:val="en-NZ"/>
              </w:rPr>
            </w:pPr>
            <w:r w:rsidRPr="006371B8">
              <w:t>Where simulation is considered a suitable strategy for assessment, conditions must be authentic and as far as possibl</w:t>
            </w:r>
            <w:r w:rsidRPr="006371B8">
              <w:t>e reproduce and replicate the workplace and be consistent with the approved industry simulation policy.</w:t>
            </w:r>
          </w:p>
        </w:tc>
      </w:tr>
      <w:tr w:rsidR="006371B8" w:rsidRPr="006371B8" w:rsidTr="003E3989">
        <w:tc>
          <w:tcPr>
            <w:tcW w:w="216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6300" w:type="dxa"/>
            <w:gridSpan w:val="4"/>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The resources used for assessment should reflect current industry practices in relation to assembling and setting up fixed audio/video components a</w:t>
            </w:r>
            <w:r w:rsidRPr="006371B8">
              <w:t>nd systems in buildings and premises.</w:t>
            </w:r>
          </w:p>
        </w:tc>
      </w:tr>
      <w:tr w:rsidR="006371B8" w:rsidRPr="006371B8" w:rsidTr="003E3989">
        <w:tc>
          <w:tcPr>
            <w:tcW w:w="2160" w:type="dxa"/>
            <w:tcBorders>
              <w:top w:val="nil"/>
              <w:left w:val="nil"/>
              <w:bottom w:val="nil"/>
              <w:right w:val="nil"/>
            </w:tcBorders>
            <w:tcMar>
              <w:top w:w="0" w:type="dxa"/>
              <w:left w:w="62" w:type="dxa"/>
              <w:bottom w:w="0" w:type="dxa"/>
              <w:right w:w="62" w:type="dxa"/>
            </w:tcMar>
          </w:tcPr>
          <w:p w:rsidR="00000000" w:rsidRPr="006371B8" w:rsidRDefault="003E3989" w:rsidP="006371B8">
            <w:pPr>
              <w:pStyle w:val="BodyText"/>
            </w:pPr>
            <w:r w:rsidRPr="006371B8">
              <w:rPr>
                <w:rStyle w:val="SpecialBold"/>
              </w:rPr>
              <w:t>Method of assessment</w:t>
            </w:r>
          </w:p>
        </w:tc>
        <w:tc>
          <w:tcPr>
            <w:tcW w:w="6300" w:type="dxa"/>
            <w:gridSpan w:val="4"/>
            <w:tcBorders>
              <w:top w:val="nil"/>
              <w:left w:val="nil"/>
              <w:bottom w:val="nil"/>
              <w:right w:val="nil"/>
            </w:tcBorders>
            <w:tcMar>
              <w:top w:w="0" w:type="dxa"/>
              <w:left w:w="62" w:type="dxa"/>
              <w:bottom w:w="0" w:type="dxa"/>
              <w:right w:w="62" w:type="dxa"/>
            </w:tcMar>
          </w:tcPr>
          <w:p w:rsidR="00000000" w:rsidRPr="006371B8" w:rsidRDefault="003E3989" w:rsidP="006371B8">
            <w:pPr>
              <w:pStyle w:val="BodyText"/>
            </w:pPr>
            <w:r w:rsidRPr="006371B8">
              <w:rPr>
                <w:rStyle w:val="SpecialBold"/>
              </w:rPr>
              <w:t>9</w:t>
            </w:r>
            <w:r w:rsidRPr="006371B8">
              <w:t>.</w:t>
            </w:r>
            <w:r w:rsidRPr="006371B8">
              <w:rPr>
                <w:rStyle w:val="SpecialBold"/>
              </w:rPr>
              <w:t>4</w:t>
            </w:r>
            <w:r w:rsidRPr="006371B8">
              <w:t xml:space="preserve">) </w:t>
            </w:r>
          </w:p>
          <w:p w:rsidR="00000000" w:rsidRPr="006371B8" w:rsidRDefault="003E3989" w:rsidP="006371B8">
            <w:pPr>
              <w:pStyle w:val="BodyText"/>
            </w:pPr>
            <w:r w:rsidRPr="006371B8">
              <w:t>This unit shall be assessed by methods given in Volume 1, Part 3 'Assessment Guidelines'.</w:t>
            </w:r>
          </w:p>
          <w:p w:rsidR="00000000" w:rsidRDefault="003E3989" w:rsidP="006371B8">
            <w:pPr>
              <w:pStyle w:val="BodyText"/>
              <w:rPr>
                <w:lang w:val="en-NZ"/>
              </w:rPr>
            </w:pPr>
            <w:r w:rsidRPr="006371B8">
              <w:t>Note:</w:t>
            </w:r>
            <w:r w:rsidRPr="006371B8">
              <w:br/>
            </w:r>
            <w:r w:rsidRPr="006371B8">
              <w:t>Competent performance with inherent safe working practices is expected in the industry to which this unit applies. This requires that the specified essential knowledge and associated skills are assessed in a structured environment which is primarily intend</w:t>
            </w:r>
            <w:r w:rsidRPr="006371B8">
              <w:t>ed for learning/assessment and incorporates all necessary equipment and facilities for learners to develop and demonstrate the essential knowledge and skills described in this unit.</w:t>
            </w:r>
          </w:p>
        </w:tc>
      </w:tr>
      <w:tr w:rsidR="006371B8" w:rsidTr="003E3989">
        <w:tc>
          <w:tcPr>
            <w:tcW w:w="2160" w:type="dxa"/>
            <w:vMerge w:val="restart"/>
            <w:tcBorders>
              <w:top w:val="nil"/>
              <w:left w:val="nil"/>
              <w:bottom w:val="nil"/>
              <w:right w:val="nil"/>
            </w:tcBorders>
            <w:tcMar>
              <w:top w:w="0" w:type="dxa"/>
              <w:left w:w="62" w:type="dxa"/>
              <w:bottom w:w="0" w:type="dxa"/>
              <w:right w:w="62" w:type="dxa"/>
            </w:tcMar>
          </w:tcPr>
          <w:p w:rsidR="00000000" w:rsidRPr="006371B8" w:rsidRDefault="003E3989" w:rsidP="006371B8">
            <w:pPr>
              <w:pStyle w:val="BodyText"/>
            </w:pPr>
            <w:r w:rsidRPr="006371B8">
              <w:rPr>
                <w:rStyle w:val="SpecialBold"/>
              </w:rPr>
              <w:t>Concurrent assessment and relationship with other units</w:t>
            </w:r>
          </w:p>
        </w:tc>
        <w:tc>
          <w:tcPr>
            <w:tcW w:w="6300" w:type="dxa"/>
            <w:gridSpan w:val="4"/>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rPr>
                <w:rStyle w:val="SpecialBold"/>
              </w:rPr>
              <w:t>9</w:t>
            </w:r>
            <w:r w:rsidRPr="006371B8">
              <w:t>.</w:t>
            </w:r>
            <w:r w:rsidRPr="006371B8">
              <w:rPr>
                <w:rStyle w:val="SpecialBold"/>
              </w:rPr>
              <w:t>5</w:t>
            </w:r>
            <w:r w:rsidRPr="006371B8">
              <w:t>)</w:t>
            </w:r>
          </w:p>
        </w:tc>
      </w:tr>
      <w:tr w:rsidR="006371B8" w:rsidTr="003E3989">
        <w:tc>
          <w:tcPr>
            <w:tcW w:w="2160" w:type="dxa"/>
            <w:vMerge/>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6300" w:type="dxa"/>
            <w:gridSpan w:val="4"/>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For optimisation of training and assessment effort, competency development in this unit may be arranged concurrently with unit:</w:t>
            </w:r>
          </w:p>
        </w:tc>
      </w:tr>
      <w:tr w:rsidR="006371B8" w:rsidTr="003E3989">
        <w:tc>
          <w:tcPr>
            <w:tcW w:w="2160" w:type="dxa"/>
            <w:vMerge/>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1800" w:type="dxa"/>
            <w:gridSpan w:val="3"/>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UEENEEE002B</w:t>
            </w:r>
          </w:p>
        </w:tc>
        <w:tc>
          <w:tcPr>
            <w:tcW w:w="450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Dismantle, assemble and fabricate electro technology components</w:t>
            </w:r>
          </w:p>
        </w:tc>
      </w:tr>
      <w:tr w:rsidR="006371B8" w:rsidTr="003E3989">
        <w:tc>
          <w:tcPr>
            <w:tcW w:w="216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1800" w:type="dxa"/>
            <w:gridSpan w:val="3"/>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UEENEEE005B</w:t>
            </w:r>
          </w:p>
        </w:tc>
        <w:tc>
          <w:tcPr>
            <w:tcW w:w="450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Fix and secure equipment</w:t>
            </w:r>
          </w:p>
        </w:tc>
      </w:tr>
      <w:tr w:rsidR="006371B8" w:rsidTr="003E3989">
        <w:tc>
          <w:tcPr>
            <w:tcW w:w="216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1800" w:type="dxa"/>
            <w:gridSpan w:val="3"/>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UEENEEE007B</w:t>
            </w:r>
          </w:p>
        </w:tc>
        <w:tc>
          <w:tcPr>
            <w:tcW w:w="450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Use drawings, schedules and service manuals</w:t>
            </w:r>
          </w:p>
        </w:tc>
      </w:tr>
      <w:tr w:rsidR="006371B8" w:rsidRPr="006371B8" w:rsidTr="003E3989">
        <w:tc>
          <w:tcPr>
            <w:tcW w:w="216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1800" w:type="dxa"/>
            <w:gridSpan w:val="3"/>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UEENEEE008B</w:t>
            </w:r>
          </w:p>
        </w:tc>
        <w:tc>
          <w:tcPr>
            <w:tcW w:w="4500" w:type="dxa"/>
            <w:tcBorders>
              <w:top w:val="nil"/>
              <w:left w:val="nil"/>
              <w:bottom w:val="nil"/>
              <w:right w:val="nil"/>
            </w:tcBorders>
            <w:tcMar>
              <w:top w:w="0" w:type="dxa"/>
              <w:left w:w="62" w:type="dxa"/>
              <w:bottom w:w="0" w:type="dxa"/>
              <w:right w:w="62" w:type="dxa"/>
            </w:tcMar>
          </w:tcPr>
          <w:p w:rsidR="00000000" w:rsidRPr="006371B8" w:rsidRDefault="003E3989" w:rsidP="006371B8">
            <w:pPr>
              <w:pStyle w:val="BodyText"/>
            </w:pPr>
            <w:r w:rsidRPr="006371B8">
              <w:t>Lay wiring and terminate accessories for extra-low voltage circuits</w:t>
            </w:r>
          </w:p>
        </w:tc>
      </w:tr>
    </w:tbl>
    <w:p w:rsidR="003E3989" w:rsidRDefault="003E3989" w:rsidP="006371B8">
      <w:pPr>
        <w:pStyle w:val="BodyText"/>
      </w:pPr>
    </w:p>
    <w:p w:rsidR="003E3989" w:rsidRDefault="003E3989" w:rsidP="006371B8">
      <w:pPr>
        <w:pStyle w:val="BodyText"/>
      </w:pPr>
    </w:p>
    <w:p w:rsidR="00000000" w:rsidRPr="006371B8" w:rsidRDefault="003E3989" w:rsidP="006371B8">
      <w:pPr>
        <w:pStyle w:val="Heading1"/>
      </w:pPr>
      <w:bookmarkStart w:id="11" w:name="O_255370"/>
      <w:bookmarkEnd w:id="11"/>
      <w:r w:rsidRPr="006371B8">
        <w:t>Range Statement</w:t>
      </w:r>
    </w:p>
    <w:tbl>
      <w:tblPr>
        <w:tblW w:w="0" w:type="auto"/>
        <w:tblLayout w:type="fixed"/>
        <w:tblCellMar>
          <w:left w:w="62" w:type="dxa"/>
          <w:right w:w="62" w:type="dxa"/>
        </w:tblCellMar>
        <w:tblLook w:val="0000" w:firstRow="0" w:lastRow="0" w:firstColumn="0" w:lastColumn="0" w:noHBand="0" w:noVBand="0"/>
      </w:tblPr>
      <w:tblGrid>
        <w:gridCol w:w="8460"/>
      </w:tblGrid>
      <w:tr w:rsidR="00000000" w:rsidRPr="006371B8" w:rsidTr="003E3989">
        <w:trPr>
          <w:tblHeader/>
        </w:trPr>
        <w:tc>
          <w:tcPr>
            <w:tcW w:w="846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rPr>
                <w:rStyle w:val="SpecialBold"/>
              </w:rPr>
              <w:t>RANGE STATEMENT</w:t>
            </w:r>
          </w:p>
        </w:tc>
      </w:tr>
      <w:tr w:rsidR="00000000" w:rsidTr="003E3989">
        <w:tc>
          <w:tcPr>
            <w:tcW w:w="846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rPr>
                <w:rStyle w:val="SpecialBold"/>
              </w:rPr>
              <w:t>8</w:t>
            </w:r>
            <w:r w:rsidRPr="006371B8">
              <w:t>) This relates to the unit as a whole providing the range of contexts and conditions to which the performance criteria apply. It allows for different work environments and situations that will affect performance.</w:t>
            </w:r>
          </w:p>
        </w:tc>
      </w:tr>
      <w:tr w:rsidR="00000000" w:rsidTr="003E3989">
        <w:tc>
          <w:tcPr>
            <w:tcW w:w="8460" w:type="dxa"/>
            <w:tcBorders>
              <w:top w:val="nil"/>
              <w:left w:val="nil"/>
              <w:bottom w:val="nil"/>
              <w:right w:val="nil"/>
            </w:tcBorders>
            <w:tcMar>
              <w:top w:w="0" w:type="dxa"/>
              <w:left w:w="62" w:type="dxa"/>
              <w:bottom w:w="0" w:type="dxa"/>
              <w:right w:w="62" w:type="dxa"/>
            </w:tcMar>
          </w:tcPr>
          <w:p w:rsidR="00000000" w:rsidRPr="006371B8" w:rsidRDefault="003E3989" w:rsidP="006371B8">
            <w:pPr>
              <w:pStyle w:val="BodyText"/>
            </w:pPr>
            <w:r w:rsidRPr="006371B8">
              <w:t>This unit shall be demonstrated by assembl</w:t>
            </w:r>
            <w:r w:rsidRPr="006371B8">
              <w:t xml:space="preserve">ing and setting up fixed audio/video systems in building and premises on at least two occasions. </w:t>
            </w:r>
          </w:p>
          <w:p w:rsidR="00000000" w:rsidRDefault="003E3989" w:rsidP="006371B8">
            <w:pPr>
              <w:pStyle w:val="BodyText"/>
              <w:rPr>
                <w:lang w:val="en-NZ"/>
              </w:rPr>
            </w:pPr>
            <w:r w:rsidRPr="006371B8">
              <w:t>Systems are to consist of surround sound and multi-room speakers, central audio and home theatre components.</w:t>
            </w:r>
          </w:p>
        </w:tc>
      </w:tr>
      <w:tr w:rsidR="00000000" w:rsidRPr="006371B8" w:rsidTr="003E3989">
        <w:tc>
          <w:tcPr>
            <w:tcW w:w="8460" w:type="dxa"/>
            <w:tcBorders>
              <w:top w:val="nil"/>
              <w:left w:val="nil"/>
              <w:bottom w:val="nil"/>
              <w:right w:val="nil"/>
            </w:tcBorders>
            <w:tcMar>
              <w:top w:w="0" w:type="dxa"/>
              <w:left w:w="62" w:type="dxa"/>
              <w:bottom w:w="0" w:type="dxa"/>
              <w:right w:w="62" w:type="dxa"/>
            </w:tcMar>
          </w:tcPr>
          <w:p w:rsidR="00000000" w:rsidRPr="006371B8" w:rsidRDefault="003E3989" w:rsidP="006371B8">
            <w:pPr>
              <w:pStyle w:val="BodyText"/>
            </w:pPr>
            <w:r w:rsidRPr="006371B8">
              <w:t>Generic terms used throughout this Vocational St</w:t>
            </w:r>
            <w:r w:rsidRPr="006371B8">
              <w:t>andard shall be regarded as part of the Range Statement in which competency is demonstrated. The definition of these and other terms that apply are given in Volume 2, Part 2.1.</w:t>
            </w:r>
          </w:p>
        </w:tc>
      </w:tr>
    </w:tbl>
    <w:p w:rsidR="003E3989" w:rsidRDefault="003E3989" w:rsidP="006371B8">
      <w:pPr>
        <w:pStyle w:val="BodyText"/>
      </w:pPr>
    </w:p>
    <w:p w:rsidR="003E3989" w:rsidRDefault="003E3989" w:rsidP="006371B8">
      <w:pPr>
        <w:pStyle w:val="BodyText"/>
      </w:pPr>
    </w:p>
    <w:p w:rsidR="00000000" w:rsidRPr="006371B8" w:rsidRDefault="003E3989" w:rsidP="006371B8">
      <w:pPr>
        <w:pStyle w:val="Heading1"/>
      </w:pPr>
      <w:bookmarkStart w:id="12" w:name="O_296383"/>
      <w:bookmarkEnd w:id="12"/>
      <w:r w:rsidRPr="006371B8">
        <w:t>Unit Sector(s)</w:t>
      </w:r>
    </w:p>
    <w:p w:rsidR="00000000" w:rsidRPr="006371B8" w:rsidRDefault="003E3989" w:rsidP="006371B8">
      <w:pPr>
        <w:pStyle w:val="BodyText"/>
      </w:pPr>
      <w:r w:rsidRPr="006371B8">
        <w:t>Not Applicable</w:t>
      </w:r>
    </w:p>
    <w:p w:rsidR="00000000" w:rsidRPr="006371B8" w:rsidRDefault="003E3989" w:rsidP="006371B8">
      <w:pPr>
        <w:pStyle w:val="AllowPageBreak"/>
      </w:pPr>
    </w:p>
    <w:p w:rsidR="00000000" w:rsidRPr="006371B8" w:rsidRDefault="003E3989" w:rsidP="006371B8">
      <w:pPr>
        <w:pStyle w:val="Heading1"/>
      </w:pPr>
      <w:bookmarkStart w:id="13" w:name="O_226582"/>
      <w:bookmarkEnd w:id="13"/>
      <w:r w:rsidRPr="006371B8">
        <w:lastRenderedPageBreak/>
        <w:t>Competency F</w:t>
      </w:r>
      <w:r w:rsidRPr="006371B8">
        <w:t>ield</w:t>
      </w:r>
    </w:p>
    <w:tbl>
      <w:tblPr>
        <w:tblW w:w="0" w:type="auto"/>
        <w:tblLayout w:type="fixed"/>
        <w:tblCellMar>
          <w:left w:w="62" w:type="dxa"/>
          <w:right w:w="62" w:type="dxa"/>
        </w:tblCellMar>
        <w:tblLook w:val="0000" w:firstRow="0" w:lastRow="0" w:firstColumn="0" w:lastColumn="0" w:noHBand="0" w:noVBand="0"/>
      </w:tblPr>
      <w:tblGrid>
        <w:gridCol w:w="1454"/>
        <w:gridCol w:w="1182"/>
        <w:gridCol w:w="1739"/>
        <w:gridCol w:w="1182"/>
        <w:gridCol w:w="1721"/>
        <w:gridCol w:w="1182"/>
      </w:tblGrid>
      <w:tr w:rsidR="006371B8" w:rsidTr="003E3989">
        <w:trPr>
          <w:tblHeader/>
        </w:trPr>
        <w:tc>
          <w:tcPr>
            <w:tcW w:w="8460" w:type="dxa"/>
            <w:gridSpan w:val="6"/>
            <w:tcBorders>
              <w:top w:val="nil"/>
              <w:left w:val="nil"/>
              <w:bottom w:val="nil"/>
              <w:right w:val="nil"/>
            </w:tcBorders>
            <w:tcMar>
              <w:top w:w="0" w:type="dxa"/>
              <w:left w:w="62" w:type="dxa"/>
              <w:bottom w:w="0" w:type="dxa"/>
              <w:right w:w="62" w:type="dxa"/>
            </w:tcMar>
          </w:tcPr>
          <w:p w:rsidR="00000000" w:rsidRPr="006371B8" w:rsidRDefault="003E3989" w:rsidP="006371B8">
            <w:pPr>
              <w:pStyle w:val="BodyText"/>
            </w:pPr>
            <w:r w:rsidRPr="006371B8">
              <w:rPr>
                <w:rStyle w:val="SpecialBold"/>
              </w:rPr>
              <w:t>2</w:t>
            </w:r>
            <w:r w:rsidRPr="006371B8">
              <w:t>.</w:t>
            </w:r>
            <w:r w:rsidRPr="006371B8">
              <w:rPr>
                <w:rStyle w:val="SpecialBold"/>
              </w:rPr>
              <w:t>2</w:t>
            </w:r>
            <w:r w:rsidRPr="006371B8">
              <w:t xml:space="preserve">) </w:t>
            </w:r>
            <w:r w:rsidRPr="006371B8">
              <w:rPr>
                <w:rStyle w:val="SpecialBold"/>
              </w:rPr>
              <w:t>Literacy and numeracy skills</w:t>
            </w:r>
          </w:p>
          <w:p w:rsidR="00000000" w:rsidRDefault="003E3989" w:rsidP="006371B8">
            <w:pPr>
              <w:pStyle w:val="BodyText"/>
              <w:rPr>
                <w:lang w:val="en-NZ"/>
              </w:rPr>
            </w:pPr>
            <w:r w:rsidRPr="006371B8">
              <w:t>Participants are best equipped to achieve competency in this unit if they have reading, writing and numeracy skills indicated by the following scales. Description of each scale is given in Volume 2, Part 3 'Literacy a</w:t>
            </w:r>
            <w:r w:rsidRPr="006371B8">
              <w:t>nd Numeracy'</w:t>
            </w:r>
          </w:p>
        </w:tc>
      </w:tr>
      <w:tr w:rsidR="00000000" w:rsidRPr="006371B8" w:rsidTr="003E3989">
        <w:tc>
          <w:tcPr>
            <w:tcW w:w="1454"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Reading</w:t>
            </w:r>
          </w:p>
        </w:tc>
        <w:tc>
          <w:tcPr>
            <w:tcW w:w="1182"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3</w:t>
            </w:r>
          </w:p>
        </w:tc>
        <w:tc>
          <w:tcPr>
            <w:tcW w:w="1739"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Writing</w:t>
            </w:r>
          </w:p>
        </w:tc>
        <w:tc>
          <w:tcPr>
            <w:tcW w:w="1182"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3</w:t>
            </w:r>
          </w:p>
        </w:tc>
        <w:tc>
          <w:tcPr>
            <w:tcW w:w="1721"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t>Numeracy</w:t>
            </w:r>
          </w:p>
        </w:tc>
        <w:tc>
          <w:tcPr>
            <w:tcW w:w="1182" w:type="dxa"/>
            <w:tcBorders>
              <w:top w:val="nil"/>
              <w:left w:val="nil"/>
              <w:bottom w:val="nil"/>
              <w:right w:val="nil"/>
            </w:tcBorders>
            <w:tcMar>
              <w:top w:w="0" w:type="dxa"/>
              <w:left w:w="62" w:type="dxa"/>
              <w:bottom w:w="0" w:type="dxa"/>
              <w:right w:w="62" w:type="dxa"/>
            </w:tcMar>
          </w:tcPr>
          <w:p w:rsidR="00000000" w:rsidRPr="006371B8" w:rsidRDefault="003E3989" w:rsidP="006371B8">
            <w:pPr>
              <w:pStyle w:val="BodyText"/>
            </w:pPr>
            <w:r w:rsidRPr="006371B8">
              <w:t>3</w:t>
            </w:r>
          </w:p>
        </w:tc>
      </w:tr>
    </w:tbl>
    <w:p w:rsidR="003E3989" w:rsidRDefault="003E3989" w:rsidP="006371B8">
      <w:pPr>
        <w:pStyle w:val="BodyText"/>
      </w:pPr>
    </w:p>
    <w:p w:rsidR="003E3989" w:rsidRDefault="003E3989" w:rsidP="006371B8">
      <w:pPr>
        <w:pStyle w:val="BodyText"/>
      </w:pPr>
    </w:p>
    <w:p w:rsidR="00000000" w:rsidRPr="006371B8" w:rsidRDefault="003E3989" w:rsidP="006371B8">
      <w:pPr>
        <w:pStyle w:val="Heading1"/>
      </w:pPr>
      <w:bookmarkStart w:id="14" w:name="O_226585"/>
      <w:bookmarkEnd w:id="14"/>
      <w:r w:rsidRPr="006371B8">
        <w:t>2.2) Literacy and numeracy skills</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Tr="003E3989">
        <w:trPr>
          <w:tblHeader/>
        </w:trPr>
        <w:tc>
          <w:tcPr>
            <w:tcW w:w="2700" w:type="dxa"/>
            <w:tcBorders>
              <w:top w:val="nil"/>
              <w:left w:val="nil"/>
              <w:bottom w:val="nil"/>
              <w:right w:val="nil"/>
            </w:tcBorders>
            <w:tcMar>
              <w:top w:w="0" w:type="dxa"/>
              <w:left w:w="62" w:type="dxa"/>
              <w:bottom w:w="0" w:type="dxa"/>
              <w:right w:w="62" w:type="dxa"/>
            </w:tcMar>
          </w:tcPr>
          <w:p w:rsidR="00000000" w:rsidRPr="006371B8" w:rsidRDefault="003E3989" w:rsidP="006371B8">
            <w:pPr>
              <w:pStyle w:val="BodyText"/>
            </w:pPr>
            <w:r w:rsidRPr="006371B8">
              <w:rPr>
                <w:rStyle w:val="SpecialBold"/>
              </w:rPr>
              <w:t>Competency Field</w:t>
            </w:r>
          </w:p>
        </w:tc>
        <w:tc>
          <w:tcPr>
            <w:tcW w:w="5760" w:type="dxa"/>
            <w:tcBorders>
              <w:top w:val="nil"/>
              <w:left w:val="nil"/>
              <w:bottom w:val="nil"/>
              <w:right w:val="nil"/>
            </w:tcBorders>
            <w:tcMar>
              <w:top w:w="0" w:type="dxa"/>
              <w:left w:w="62" w:type="dxa"/>
              <w:bottom w:w="0" w:type="dxa"/>
              <w:right w:w="62" w:type="dxa"/>
            </w:tcMar>
          </w:tcPr>
          <w:p w:rsidR="00000000" w:rsidRDefault="003E3989" w:rsidP="006371B8">
            <w:pPr>
              <w:pStyle w:val="BodyText"/>
              <w:rPr>
                <w:lang w:val="en-NZ"/>
              </w:rPr>
            </w:pPr>
            <w:r w:rsidRPr="006371B8">
              <w:rPr>
                <w:rStyle w:val="SpecialBold"/>
              </w:rPr>
              <w:t>5</w:t>
            </w:r>
            <w:r w:rsidRPr="006371B8">
              <w:t>)</w:t>
            </w:r>
          </w:p>
        </w:tc>
      </w:tr>
      <w:tr w:rsidR="00000000" w:rsidRPr="006371B8" w:rsidTr="003E3989">
        <w:tc>
          <w:tcPr>
            <w:tcW w:w="2700" w:type="dxa"/>
            <w:tcBorders>
              <w:top w:val="nil"/>
              <w:left w:val="nil"/>
              <w:bottom w:val="nil"/>
              <w:right w:val="nil"/>
            </w:tcBorders>
            <w:tcMar>
              <w:top w:w="0" w:type="dxa"/>
              <w:left w:w="62" w:type="dxa"/>
              <w:bottom w:w="0" w:type="dxa"/>
              <w:right w:w="62" w:type="dxa"/>
            </w:tcMar>
          </w:tcPr>
          <w:p w:rsidR="00000000" w:rsidRDefault="003E3989">
            <w:pPr>
              <w:pStyle w:val="BodyText"/>
              <w:keepNext w:val="0"/>
              <w:keepLines w:val="0"/>
              <w:contextualSpacing w:val="0"/>
              <w:rPr>
                <w:rFonts w:ascii="Tahoma" w:hAnsi="Tahoma"/>
                <w:color w:val="000000"/>
                <w:sz w:val="20"/>
                <w:lang w:val="en-NZ"/>
              </w:rPr>
            </w:pPr>
          </w:p>
        </w:tc>
        <w:tc>
          <w:tcPr>
            <w:tcW w:w="5760" w:type="dxa"/>
            <w:tcBorders>
              <w:top w:val="nil"/>
              <w:left w:val="nil"/>
              <w:bottom w:val="nil"/>
              <w:right w:val="nil"/>
            </w:tcBorders>
            <w:tcMar>
              <w:top w:w="0" w:type="dxa"/>
              <w:left w:w="62" w:type="dxa"/>
              <w:bottom w:w="0" w:type="dxa"/>
              <w:right w:w="62" w:type="dxa"/>
            </w:tcMar>
          </w:tcPr>
          <w:p w:rsidR="00000000" w:rsidRPr="006371B8" w:rsidRDefault="003E3989" w:rsidP="006371B8">
            <w:pPr>
              <w:pStyle w:val="BodyText"/>
            </w:pPr>
            <w:r w:rsidRPr="006371B8">
              <w:t>Electronics</w:t>
            </w:r>
          </w:p>
        </w:tc>
      </w:tr>
    </w:tbl>
    <w:p w:rsidR="003E3989" w:rsidRDefault="003E3989" w:rsidP="006371B8">
      <w:pPr>
        <w:pStyle w:val="BodyText"/>
      </w:pPr>
    </w:p>
    <w:p w:rsidR="003E3989" w:rsidRDefault="003E3989" w:rsidP="006371B8">
      <w:pPr>
        <w:pStyle w:val="BodyText"/>
      </w:pPr>
    </w:p>
    <w:p w:rsidR="00000000" w:rsidRPr="006371B8" w:rsidRDefault="003E3989" w:rsidP="006371B8"/>
    <w:sectPr w:rsidR="00000000" w:rsidRPr="006371B8" w:rsidSect="006371B8">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E3989">
      <w:r>
        <w:separator/>
      </w:r>
    </w:p>
  </w:endnote>
  <w:endnote w:type="continuationSeparator" w:id="0">
    <w:p w:rsidR="00000000" w:rsidRDefault="003E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1B8" w:rsidRDefault="006371B8">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3E3989" w:rsidRDefault="003E3989" w:rsidP="003E3989">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1B8" w:rsidRDefault="006371B8">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89" w:rsidRDefault="003E3989" w:rsidP="006371B8">
    <w:pPr>
      <w:pStyle w:val="Footer"/>
      <w:framePr w:wrap="around"/>
    </w:pPr>
    <w:fldSimple w:instr=" DOCPROPERTY  Subject  \* MERGEFORMAT ">
      <w:r>
        <w:t>6</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11</w:t>
      </w:r>
    </w:fldSimple>
  </w:p>
  <w:p w:rsidR="003E3989" w:rsidRDefault="003E3989" w:rsidP="006371B8">
    <w:pPr>
      <w:pStyle w:val="Footer"/>
      <w:framePr w:wrap="around"/>
    </w:pPr>
    <w:r>
      <w:t xml:space="preserve">© Commonwealth of Australia, </w:t>
    </w:r>
    <w:r>
      <w:fldChar w:fldCharType="begin"/>
    </w:r>
    <w:r>
      <w:instrText xml:space="preserve"> DATE  \@ "yyyy"  \* MERGEFORMAT </w:instrText>
    </w:r>
    <w:r>
      <w:fldChar w:fldCharType="separate"/>
    </w:r>
    <w:r>
      <w:rPr>
        <w:noProof/>
      </w:rPr>
      <w:t>2012</w:t>
    </w:r>
    <w:r>
      <w:fldChar w:fldCharType="end"/>
    </w:r>
    <w:r>
      <w:tab/>
    </w:r>
    <w:fldSimple w:instr=" DOCPROPERTY  Author  \* MERGEFORMAT ">
      <w:r>
        <w:t>EE-Oz Training Standards</w:t>
      </w:r>
    </w:fldSimple>
  </w:p>
  <w:p w:rsidR="003E3989" w:rsidRDefault="003E3989" w:rsidP="006371B8">
    <w:pPr>
      <w:pStyle w:val="Footer"/>
      <w:framePr w:wrap="around" w:hAnchor="text" w:x="285"/>
      <w:pBdr>
        <w:top w:val="none" w:sz="0" w:space="0" w:color="auto"/>
      </w:pBd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E3989">
      <w:r>
        <w:separator/>
      </w:r>
    </w:p>
  </w:footnote>
  <w:footnote w:type="continuationSeparator" w:id="0">
    <w:p w:rsidR="00000000" w:rsidRDefault="003E3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1B8" w:rsidRDefault="006371B8">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1B8" w:rsidRPr="003E3989" w:rsidRDefault="003E3989" w:rsidP="003E3989">
    <w:pPr>
      <w:pStyle w:val="BodyText"/>
    </w:pPr>
    <w:r>
      <w:rPr>
        <w:noProof/>
        <w:lang w:eastAsia="en-AU"/>
      </w:rPr>
      <w:drawing>
        <wp:anchor distT="0" distB="0" distL="114300" distR="114300" simplePos="0" relativeHeight="251659264" behindDoc="1" locked="0" layoutInCell="1" allowOverlap="1" wp14:anchorId="166E4A0E" wp14:editId="201BAAF8">
          <wp:simplePos x="0" y="0"/>
          <wp:positionH relativeFrom="margin">
            <wp:align>center</wp:align>
          </wp:positionH>
          <wp:positionV relativeFrom="margin">
            <wp:align>center</wp:align>
          </wp:positionV>
          <wp:extent cx="7734032" cy="10953482"/>
          <wp:effectExtent l="19050" t="0" r="268" b="0"/>
          <wp:wrapNone/>
          <wp:docPr id="2" name="Picture 0" descr="titl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stretch>
                    <a:fillRect/>
                  </a:stretch>
                </pic:blipFill>
                <pic:spPr>
                  <a:xfrm>
                    <a:off x="0" y="0"/>
                    <a:ext cx="7734032" cy="109534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1B8" w:rsidRDefault="006371B8">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89" w:rsidRPr="002D2AF8" w:rsidRDefault="003E3989" w:rsidP="006371B8">
    <w:pPr>
      <w:pStyle w:val="Header"/>
      <w:framePr w:wrap="around"/>
    </w:pPr>
    <w:fldSimple w:instr=" TITLE   \* MERGEFORMAT ">
      <w:r>
        <w:t>UEENEEH006B Assemble and set up fixed audio/video components and systems in buildings and premises</w:t>
      </w:r>
    </w:fldSimple>
    <w:r>
      <w:tab/>
      <w:t xml:space="preserve">Date this document was generated: </w:t>
    </w:r>
    <w:r>
      <w:fldChar w:fldCharType="begin"/>
    </w:r>
    <w:r>
      <w:instrText xml:space="preserve"> CREATEDATE  \@ "d MMMM yyyy"  \* MERGEFORMAT </w:instrText>
    </w:r>
    <w:r>
      <w:fldChar w:fldCharType="separate"/>
    </w:r>
    <w:r>
      <w:rPr>
        <w:noProof/>
      </w:rPr>
      <w:t>12 October 2012</w:t>
    </w:r>
    <w:r>
      <w:fldChar w:fldCharType="end"/>
    </w:r>
  </w:p>
  <w:p w:rsidR="003E3989" w:rsidRDefault="003E3989" w:rsidP="006371B8">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7FE2A58E"/>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2B56DFD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BF1045B2"/>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14"/>
  </w:num>
  <w:num w:numId="9">
    <w:abstractNumId w:val="11"/>
  </w:num>
  <w:num w:numId="10">
    <w:abstractNumId w:val="15"/>
  </w:num>
  <w:num w:numId="11">
    <w:abstractNumId w:val="13"/>
  </w:num>
  <w:num w:numId="12">
    <w:abstractNumId w:val="9"/>
  </w:num>
  <w:num w:numId="13">
    <w:abstractNumId w:val="12"/>
  </w:num>
  <w:num w:numId="14">
    <w:abstractNumId w:val="10"/>
  </w:num>
  <w:num w:numId="15">
    <w:abstractNumId w:val="5"/>
  </w:num>
  <w:num w:numId="16">
    <w:abstractNumId w:val="8"/>
    <w:lvlOverride w:ilvl="0">
      <w:lvl w:ilvl="0">
        <w:numFmt w:val="bullet"/>
        <w:lvlText w:val=""/>
        <w:legacy w:legacy="1" w:legacySpace="0" w:legacyIndent="0"/>
        <w:lvlJc w:val="left"/>
        <w:pPr>
          <w:ind w:left="36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371B8"/>
    <w:rsid w:val="003E3989"/>
    <w:rsid w:val="006371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unhideWhenUsed="0"/>
    <w:lsdException w:name="index heading" w:uiPriority="0"/>
    <w:lsdException w:name="caption" w:uiPriority="0" w:qFormat="1"/>
    <w:lsdException w:name="table of figures" w:uiPriority="0"/>
    <w:lsdException w:name="page number" w:uiPriority="0"/>
    <w:lsdException w:name="List" w:uiPriority="0"/>
    <w:lsdException w:name="List Bullet" w:uiPriority="0" w:unhideWhenUsed="0"/>
    <w:lsdException w:name="List Number" w:uiPriority="0"/>
    <w:lsdException w:name="List 2" w:uiPriority="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1B8"/>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6371B8"/>
    <w:pPr>
      <w:spacing w:before="360" w:after="60"/>
      <w:outlineLvl w:val="0"/>
    </w:pPr>
    <w:rPr>
      <w:sz w:val="32"/>
    </w:rPr>
  </w:style>
  <w:style w:type="paragraph" w:styleId="Heading2">
    <w:name w:val="heading 2"/>
    <w:basedOn w:val="HeadingBase"/>
    <w:next w:val="BodyText"/>
    <w:link w:val="Heading2Char"/>
    <w:qFormat/>
    <w:rsid w:val="006371B8"/>
    <w:pPr>
      <w:keepLines/>
      <w:spacing w:before="240" w:after="120"/>
      <w:outlineLvl w:val="1"/>
    </w:pPr>
    <w:rPr>
      <w:sz w:val="28"/>
      <w:szCs w:val="40"/>
    </w:rPr>
  </w:style>
  <w:style w:type="paragraph" w:styleId="Heading3">
    <w:name w:val="heading 3"/>
    <w:basedOn w:val="HeadingBase"/>
    <w:next w:val="BodyText"/>
    <w:link w:val="Heading3Char"/>
    <w:qFormat/>
    <w:rsid w:val="006371B8"/>
    <w:pPr>
      <w:spacing w:before="180" w:after="120"/>
      <w:outlineLvl w:val="2"/>
    </w:pPr>
    <w:rPr>
      <w:spacing w:val="-10"/>
      <w:kern w:val="32"/>
    </w:rPr>
  </w:style>
  <w:style w:type="paragraph" w:styleId="Heading4">
    <w:name w:val="heading 4"/>
    <w:basedOn w:val="HeadingBase"/>
    <w:next w:val="BodyText"/>
    <w:link w:val="Heading4Char"/>
    <w:qFormat/>
    <w:rsid w:val="006371B8"/>
    <w:pPr>
      <w:spacing w:before="160" w:after="120"/>
      <w:outlineLvl w:val="3"/>
    </w:pPr>
    <w:rPr>
      <w:sz w:val="22"/>
    </w:rPr>
  </w:style>
  <w:style w:type="paragraph" w:styleId="Heading5">
    <w:name w:val="heading 5"/>
    <w:basedOn w:val="HeadingBase"/>
    <w:next w:val="Normal"/>
    <w:link w:val="Heading5Char"/>
    <w:qFormat/>
    <w:rsid w:val="006371B8"/>
    <w:pPr>
      <w:spacing w:before="80"/>
      <w:outlineLvl w:val="4"/>
    </w:pPr>
    <w:rPr>
      <w:color w:val="918585"/>
      <w:sz w:val="20"/>
    </w:rPr>
  </w:style>
  <w:style w:type="paragraph" w:styleId="Heading6">
    <w:name w:val="heading 6"/>
    <w:basedOn w:val="HeadingBase"/>
    <w:next w:val="Normal"/>
    <w:link w:val="Heading6Char"/>
    <w:qFormat/>
    <w:rsid w:val="006371B8"/>
    <w:pPr>
      <w:spacing w:before="60"/>
      <w:outlineLvl w:val="5"/>
    </w:pPr>
    <w:rPr>
      <w:color w:val="918585"/>
      <w:sz w:val="20"/>
    </w:rPr>
  </w:style>
  <w:style w:type="paragraph" w:styleId="Heading7">
    <w:name w:val="heading 7"/>
    <w:basedOn w:val="Normal"/>
    <w:next w:val="Normal"/>
    <w:link w:val="Heading7Char"/>
    <w:qFormat/>
    <w:rsid w:val="006371B8"/>
    <w:pPr>
      <w:ind w:left="720"/>
      <w:outlineLvl w:val="6"/>
    </w:pPr>
    <w:rPr>
      <w:i/>
    </w:rPr>
  </w:style>
  <w:style w:type="paragraph" w:styleId="Heading8">
    <w:name w:val="heading 8"/>
    <w:basedOn w:val="Normal"/>
    <w:next w:val="Normal"/>
    <w:link w:val="Heading8Char"/>
    <w:qFormat/>
    <w:rsid w:val="006371B8"/>
    <w:pPr>
      <w:ind w:left="720"/>
      <w:outlineLvl w:val="7"/>
    </w:pPr>
    <w:rPr>
      <w:i/>
    </w:rPr>
  </w:style>
  <w:style w:type="paragraph" w:styleId="Heading9">
    <w:name w:val="heading 9"/>
    <w:basedOn w:val="Normal"/>
    <w:next w:val="Normal"/>
    <w:link w:val="Heading9Char"/>
    <w:qFormat/>
    <w:rsid w:val="006371B8"/>
    <w:pPr>
      <w:ind w:left="720"/>
      <w:outlineLvl w:val="8"/>
    </w:pPr>
    <w:rPr>
      <w:i/>
    </w:rPr>
  </w:style>
  <w:style w:type="character" w:default="1" w:styleId="DefaultParagraphFont">
    <w:name w:val="Default Paragraph Font"/>
    <w:uiPriority w:val="1"/>
    <w:unhideWhenUsed/>
    <w:rsid w:val="006371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71B8"/>
  </w:style>
  <w:style w:type="character" w:customStyle="1" w:styleId="Heading1Char">
    <w:name w:val="Heading 1 Char"/>
    <w:basedOn w:val="DefaultParagraphFont"/>
    <w:link w:val="Heading1"/>
    <w:rsid w:val="006371B8"/>
    <w:rPr>
      <w:rFonts w:ascii="Times New Roman" w:eastAsia="Times New Roman" w:hAnsi="Times New Roman" w:cs="Times New Roman"/>
      <w:b/>
      <w:sz w:val="32"/>
      <w:szCs w:val="20"/>
      <w:lang w:eastAsia="en-US"/>
    </w:rPr>
  </w:style>
  <w:style w:type="paragraph" w:styleId="BodyText">
    <w:name w:val="Body Text"/>
    <w:basedOn w:val="Normal"/>
    <w:link w:val="BodyTextChar"/>
    <w:rsid w:val="006371B8"/>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6371B8"/>
    <w:rPr>
      <w:rFonts w:ascii="Times New Roman" w:eastAsia="Times New Roman" w:hAnsi="Times New Roman" w:cs="Times New Roman"/>
      <w:sz w:val="24"/>
      <w:lang w:eastAsia="en-US"/>
    </w:rPr>
  </w:style>
  <w:style w:type="paragraph" w:styleId="Footer">
    <w:name w:val="footer"/>
    <w:basedOn w:val="Normal"/>
    <w:link w:val="FooterChar"/>
    <w:rsid w:val="006371B8"/>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6371B8"/>
    <w:rPr>
      <w:rFonts w:ascii="Times New Roman" w:eastAsia="Times New Roman" w:hAnsi="Times New Roman" w:cs="Times New Roman"/>
      <w:sz w:val="16"/>
      <w:lang w:eastAsia="en-US"/>
    </w:rPr>
  </w:style>
  <w:style w:type="paragraph" w:styleId="ListBullet">
    <w:name w:val="List Bullet"/>
    <w:basedOn w:val="List"/>
    <w:rsid w:val="006371B8"/>
    <w:pPr>
      <w:numPr>
        <w:numId w:val="13"/>
      </w:numPr>
      <w:tabs>
        <w:tab w:val="clear" w:pos="340"/>
      </w:tabs>
      <w:spacing w:before="40" w:after="40"/>
    </w:pPr>
  </w:style>
  <w:style w:type="character" w:customStyle="1" w:styleId="SpecialBold">
    <w:name w:val="Special Bold"/>
    <w:basedOn w:val="DefaultParagraphFont"/>
    <w:rsid w:val="006371B8"/>
    <w:rPr>
      <w:b/>
      <w:spacing w:val="0"/>
    </w:rPr>
  </w:style>
  <w:style w:type="paragraph" w:styleId="ListBullet2">
    <w:name w:val="List Bullet 2"/>
    <w:basedOn w:val="List2"/>
    <w:rsid w:val="006371B8"/>
    <w:pPr>
      <w:numPr>
        <w:numId w:val="14"/>
      </w:numPr>
      <w:tabs>
        <w:tab w:val="clear" w:pos="680"/>
      </w:tabs>
    </w:pPr>
  </w:style>
  <w:style w:type="paragraph" w:customStyle="1" w:styleId="SuperHeading">
    <w:name w:val="SuperHeading"/>
    <w:basedOn w:val="Normal"/>
    <w:rsid w:val="006371B8"/>
    <w:pPr>
      <w:spacing w:before="240" w:after="120"/>
      <w:outlineLvl w:val="0"/>
    </w:pPr>
    <w:rPr>
      <w:rFonts w:ascii="Times New Roman" w:hAnsi="Times New Roman"/>
      <w:b/>
      <w:sz w:val="28"/>
    </w:rPr>
  </w:style>
  <w:style w:type="paragraph" w:customStyle="1" w:styleId="AllowPageBreak">
    <w:name w:val="AllowPageBreak"/>
    <w:rsid w:val="006371B8"/>
    <w:pPr>
      <w:widowControl w:val="0"/>
      <w:spacing w:after="0" w:line="240" w:lineRule="auto"/>
    </w:pPr>
    <w:rPr>
      <w:rFonts w:ascii="Times New Roman" w:eastAsia="Times New Roman" w:hAnsi="Times New Roman" w:cs="Times New Roman"/>
      <w:noProof/>
      <w:sz w:val="2"/>
      <w:szCs w:val="20"/>
      <w:lang w:eastAsia="en-US"/>
    </w:rPr>
  </w:style>
  <w:style w:type="character" w:customStyle="1" w:styleId="Heading2Char">
    <w:name w:val="Heading 2 Char"/>
    <w:basedOn w:val="DefaultParagraphFont"/>
    <w:link w:val="Heading2"/>
    <w:rsid w:val="006371B8"/>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6371B8"/>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6371B8"/>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6371B8"/>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6371B8"/>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6371B8"/>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6371B8"/>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6371B8"/>
    <w:rPr>
      <w:rFonts w:ascii="Courier New" w:eastAsia="Times New Roman" w:hAnsi="Courier New" w:cs="Times New Roman"/>
      <w:i/>
      <w:szCs w:val="20"/>
      <w:lang w:eastAsia="en-US"/>
    </w:rPr>
  </w:style>
  <w:style w:type="paragraph" w:customStyle="1" w:styleId="HeadingBase">
    <w:name w:val="Heading Base"/>
    <w:rsid w:val="006371B8"/>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6371B8"/>
    <w:pPr>
      <w:tabs>
        <w:tab w:val="right" w:leader="dot" w:pos="9072"/>
      </w:tabs>
      <w:ind w:left="567"/>
    </w:pPr>
    <w:rPr>
      <w:szCs w:val="22"/>
    </w:rPr>
  </w:style>
  <w:style w:type="paragraph" w:customStyle="1" w:styleId="TOCBase">
    <w:name w:val="TOC Base"/>
    <w:rsid w:val="006371B8"/>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6371B8"/>
    <w:pPr>
      <w:tabs>
        <w:tab w:val="right" w:leader="dot" w:pos="9072"/>
      </w:tabs>
      <w:spacing w:before="40" w:after="40"/>
      <w:ind w:left="284"/>
    </w:pPr>
    <w:rPr>
      <w:rFonts w:ascii="Times New Roman" w:hAnsi="Times New Roman"/>
    </w:rPr>
  </w:style>
  <w:style w:type="paragraph" w:styleId="TOC1">
    <w:name w:val="toc 1"/>
    <w:basedOn w:val="TOCBase"/>
    <w:next w:val="Normal"/>
    <w:rsid w:val="006371B8"/>
    <w:pPr>
      <w:keepNext/>
      <w:tabs>
        <w:tab w:val="right" w:leader="dot" w:pos="9072"/>
      </w:tabs>
      <w:spacing w:before="120" w:after="60"/>
    </w:pPr>
    <w:rPr>
      <w:rFonts w:ascii="Times New Roman" w:hAnsi="Times New Roman"/>
      <w:b/>
      <w:szCs w:val="24"/>
    </w:rPr>
  </w:style>
  <w:style w:type="paragraph" w:styleId="Title">
    <w:name w:val="Title"/>
    <w:basedOn w:val="HeadingBase"/>
    <w:link w:val="TitleChar"/>
    <w:qFormat/>
    <w:rsid w:val="006371B8"/>
    <w:pPr>
      <w:spacing w:before="5040"/>
      <w:jc w:val="center"/>
    </w:pPr>
    <w:rPr>
      <w:sz w:val="48"/>
      <w:szCs w:val="72"/>
      <w:lang w:val="en-US"/>
    </w:rPr>
  </w:style>
  <w:style w:type="character" w:customStyle="1" w:styleId="TitleChar">
    <w:name w:val="Title Char"/>
    <w:basedOn w:val="DefaultParagraphFont"/>
    <w:link w:val="Title"/>
    <w:rsid w:val="006371B8"/>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6371B8"/>
    <w:pPr>
      <w:tabs>
        <w:tab w:val="left" w:pos="3600"/>
        <w:tab w:val="left" w:pos="3958"/>
      </w:tabs>
    </w:pPr>
  </w:style>
  <w:style w:type="paragraph" w:styleId="List">
    <w:name w:val="List"/>
    <w:basedOn w:val="BodyText"/>
    <w:next w:val="BodyText"/>
    <w:rsid w:val="006371B8"/>
    <w:pPr>
      <w:tabs>
        <w:tab w:val="left" w:pos="340"/>
      </w:tabs>
      <w:spacing w:before="60" w:after="60"/>
      <w:ind w:left="340" w:hanging="340"/>
    </w:pPr>
  </w:style>
  <w:style w:type="paragraph" w:customStyle="1" w:styleId="Note">
    <w:name w:val="Note"/>
    <w:basedOn w:val="BodyText"/>
    <w:rsid w:val="006371B8"/>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6371B8"/>
    <w:pPr>
      <w:framePr w:wrap="auto" w:hAnchor="text" w:y="6049"/>
    </w:pPr>
    <w:rPr>
      <w:color w:val="000000"/>
      <w:sz w:val="40"/>
    </w:rPr>
  </w:style>
  <w:style w:type="paragraph" w:customStyle="1" w:styleId="TOCTitle">
    <w:name w:val="TOCTitle"/>
    <w:basedOn w:val="Heading1"/>
    <w:rsid w:val="006371B8"/>
    <w:pPr>
      <w:spacing w:after="240"/>
      <w:jc w:val="center"/>
      <w:outlineLvl w:val="9"/>
    </w:pPr>
    <w:rPr>
      <w:caps/>
    </w:rPr>
  </w:style>
  <w:style w:type="paragraph" w:customStyle="1" w:styleId="Version">
    <w:name w:val="Version"/>
    <w:rsid w:val="006371B8"/>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6371B8"/>
    <w:pPr>
      <w:keepNext w:val="0"/>
      <w:tabs>
        <w:tab w:val="right" w:pos="4176"/>
      </w:tabs>
      <w:ind w:left="198" w:hanging="198"/>
    </w:pPr>
    <w:rPr>
      <w:rFonts w:ascii="Garamond" w:hAnsi="Garamond"/>
    </w:rPr>
  </w:style>
  <w:style w:type="paragraph" w:styleId="IndexHeading">
    <w:name w:val="index heading"/>
    <w:basedOn w:val="Normal"/>
    <w:next w:val="Index1"/>
    <w:semiHidden/>
    <w:rsid w:val="006371B8"/>
    <w:pPr>
      <w:spacing w:before="120" w:after="120"/>
    </w:pPr>
    <w:rPr>
      <w:rFonts w:ascii="Arial" w:hAnsi="Arial"/>
      <w:b/>
      <w:color w:val="918585"/>
      <w:sz w:val="24"/>
    </w:rPr>
  </w:style>
  <w:style w:type="paragraph" w:styleId="Header">
    <w:name w:val="header"/>
    <w:basedOn w:val="Normal"/>
    <w:link w:val="HeaderChar"/>
    <w:rsid w:val="006371B8"/>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6371B8"/>
    <w:rPr>
      <w:rFonts w:ascii="Times New Roman" w:eastAsia="Times New Roman" w:hAnsi="Times New Roman" w:cs="Times New Roman"/>
      <w:sz w:val="16"/>
      <w:szCs w:val="20"/>
      <w:lang w:val="en-GB" w:eastAsia="en-US"/>
    </w:rPr>
  </w:style>
  <w:style w:type="paragraph" w:customStyle="1" w:styleId="Chapter">
    <w:name w:val="Chapter"/>
    <w:basedOn w:val="Normal"/>
    <w:rsid w:val="006371B8"/>
    <w:pPr>
      <w:spacing w:before="240"/>
    </w:pPr>
    <w:rPr>
      <w:rFonts w:ascii="Times New Roman" w:hAnsi="Times New Roman"/>
      <w:smallCaps/>
      <w:spacing w:val="80"/>
      <w:sz w:val="28"/>
    </w:rPr>
  </w:style>
  <w:style w:type="paragraph" w:customStyle="1" w:styleId="InChapter">
    <w:name w:val="InChapter"/>
    <w:basedOn w:val="Heading3"/>
    <w:rsid w:val="006371B8"/>
    <w:pPr>
      <w:spacing w:after="240"/>
      <w:outlineLvl w:val="9"/>
    </w:pPr>
    <w:rPr>
      <w:noProof/>
    </w:rPr>
  </w:style>
  <w:style w:type="paragraph" w:styleId="Index2">
    <w:name w:val="index 2"/>
    <w:basedOn w:val="Normal"/>
    <w:next w:val="Normal"/>
    <w:semiHidden/>
    <w:rsid w:val="006371B8"/>
    <w:pPr>
      <w:tabs>
        <w:tab w:val="right" w:pos="4176"/>
      </w:tabs>
      <w:ind w:left="568" w:hanging="284"/>
    </w:pPr>
    <w:rPr>
      <w:rFonts w:ascii="Garamond" w:hAnsi="Garamond"/>
    </w:rPr>
  </w:style>
  <w:style w:type="paragraph" w:customStyle="1" w:styleId="Byline">
    <w:name w:val="Byline"/>
    <w:rsid w:val="006371B8"/>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6371B8"/>
    <w:pPr>
      <w:tabs>
        <w:tab w:val="clear" w:pos="3600"/>
        <w:tab w:val="clear" w:pos="3958"/>
      </w:tabs>
      <w:jc w:val="right"/>
    </w:pPr>
  </w:style>
  <w:style w:type="character" w:styleId="Emphasis">
    <w:name w:val="Emphasis"/>
    <w:basedOn w:val="DefaultParagraphFont"/>
    <w:qFormat/>
    <w:rsid w:val="006371B8"/>
    <w:rPr>
      <w:i/>
    </w:rPr>
  </w:style>
  <w:style w:type="paragraph" w:styleId="Caption">
    <w:name w:val="caption"/>
    <w:basedOn w:val="BodyText"/>
    <w:next w:val="Normal"/>
    <w:qFormat/>
    <w:rsid w:val="006371B8"/>
    <w:pPr>
      <w:framePr w:w="2268" w:hSpace="181" w:vSpace="181" w:wrap="around" w:vAnchor="text" w:hAnchor="page" w:x="1135" w:y="285" w:anchorLock="1"/>
    </w:pPr>
    <w:rPr>
      <w:i/>
    </w:rPr>
  </w:style>
  <w:style w:type="paragraph" w:customStyle="1" w:styleId="MiniTOCTitle">
    <w:name w:val="MiniTOCTitle"/>
    <w:basedOn w:val="Heading4"/>
    <w:rsid w:val="006371B8"/>
    <w:pPr>
      <w:spacing w:before="240"/>
      <w:outlineLvl w:val="9"/>
    </w:pPr>
    <w:rPr>
      <w:noProof/>
      <w:sz w:val="24"/>
    </w:rPr>
  </w:style>
  <w:style w:type="paragraph" w:customStyle="1" w:styleId="MiniTOCItem">
    <w:name w:val="MiniTOCItem"/>
    <w:basedOn w:val="ListBullet"/>
    <w:rsid w:val="006371B8"/>
    <w:pPr>
      <w:numPr>
        <w:numId w:val="0"/>
      </w:numPr>
      <w:tabs>
        <w:tab w:val="right" w:leader="dot" w:pos="6521"/>
      </w:tabs>
      <w:spacing w:before="0" w:after="0"/>
    </w:pPr>
  </w:style>
  <w:style w:type="paragraph" w:customStyle="1" w:styleId="TOFTitle">
    <w:name w:val="TOFTitle"/>
    <w:basedOn w:val="TOCTitle"/>
    <w:rsid w:val="006371B8"/>
  </w:style>
  <w:style w:type="paragraph" w:styleId="TableofFigures">
    <w:name w:val="table of figures"/>
    <w:basedOn w:val="Normal"/>
    <w:next w:val="Normal"/>
    <w:semiHidden/>
    <w:rsid w:val="006371B8"/>
    <w:pPr>
      <w:tabs>
        <w:tab w:val="right" w:leader="dot" w:pos="9072"/>
      </w:tabs>
      <w:ind w:left="970" w:hanging="403"/>
    </w:pPr>
    <w:rPr>
      <w:rFonts w:ascii="Times New Roman" w:hAnsi="Times New Roman"/>
      <w:b/>
    </w:rPr>
  </w:style>
  <w:style w:type="paragraph" w:styleId="ListNumber">
    <w:name w:val="List Number"/>
    <w:basedOn w:val="List"/>
    <w:rsid w:val="006371B8"/>
    <w:pPr>
      <w:numPr>
        <w:numId w:val="11"/>
      </w:numPr>
    </w:pPr>
  </w:style>
  <w:style w:type="character" w:customStyle="1" w:styleId="WingdingSymbols">
    <w:name w:val="Wingding Symbols"/>
    <w:rsid w:val="006371B8"/>
    <w:rPr>
      <w:rFonts w:ascii="Wingdings" w:hAnsi="Wingdings"/>
    </w:rPr>
  </w:style>
  <w:style w:type="paragraph" w:customStyle="1" w:styleId="TableHeading">
    <w:name w:val="Table Heading"/>
    <w:basedOn w:val="HeadingBase"/>
    <w:rsid w:val="006371B8"/>
    <w:pPr>
      <w:keepLines/>
      <w:pBdr>
        <w:bottom w:val="single" w:sz="6" w:space="1" w:color="918585"/>
      </w:pBdr>
      <w:spacing w:before="240"/>
    </w:pPr>
  </w:style>
  <w:style w:type="character" w:customStyle="1" w:styleId="HotSpot">
    <w:name w:val="HotSpot"/>
    <w:rsid w:val="006371B8"/>
    <w:rPr>
      <w:color w:val="0033CC"/>
      <w:u w:val="none"/>
    </w:rPr>
  </w:style>
  <w:style w:type="paragraph" w:customStyle="1" w:styleId="BodyTextRight">
    <w:name w:val="Body Text Right"/>
    <w:basedOn w:val="BodyText"/>
    <w:rsid w:val="006371B8"/>
    <w:pPr>
      <w:spacing w:before="0" w:after="0"/>
      <w:jc w:val="right"/>
    </w:pPr>
  </w:style>
  <w:style w:type="paragraph" w:styleId="Index3">
    <w:name w:val="index 3"/>
    <w:basedOn w:val="ListNumber2"/>
    <w:next w:val="Normal"/>
    <w:semiHidden/>
    <w:rsid w:val="006371B8"/>
    <w:pPr>
      <w:numPr>
        <w:numId w:val="0"/>
      </w:numPr>
      <w:tabs>
        <w:tab w:val="right" w:leader="dot" w:pos="4176"/>
      </w:tabs>
    </w:pPr>
  </w:style>
  <w:style w:type="paragraph" w:styleId="ListNumber2">
    <w:name w:val="List Number 2"/>
    <w:basedOn w:val="List2"/>
    <w:rsid w:val="006371B8"/>
    <w:pPr>
      <w:numPr>
        <w:numId w:val="10"/>
      </w:numPr>
      <w:tabs>
        <w:tab w:val="clear" w:pos="1060"/>
      </w:tabs>
    </w:pPr>
  </w:style>
  <w:style w:type="paragraph" w:customStyle="1" w:styleId="MarginNote">
    <w:name w:val="Margin Note"/>
    <w:basedOn w:val="BodyText"/>
    <w:rsid w:val="006371B8"/>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6371B8"/>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6371B8"/>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6371B8"/>
    <w:rPr>
      <w:sz w:val="32"/>
    </w:rPr>
  </w:style>
  <w:style w:type="paragraph" w:customStyle="1" w:styleId="HeadingProcedure">
    <w:name w:val="Heading Procedure"/>
    <w:basedOn w:val="HeadingBase"/>
    <w:next w:val="Normal"/>
    <w:rsid w:val="006371B8"/>
    <w:pPr>
      <w:tabs>
        <w:tab w:val="left" w:pos="0"/>
      </w:tabs>
      <w:spacing w:before="120" w:after="60"/>
    </w:pPr>
    <w:rPr>
      <w:i/>
      <w:color w:val="918585"/>
      <w:sz w:val="22"/>
    </w:rPr>
  </w:style>
  <w:style w:type="paragraph" w:customStyle="1" w:styleId="TableBodyText">
    <w:name w:val="Table Body Text"/>
    <w:basedOn w:val="BodyText"/>
    <w:rsid w:val="006371B8"/>
    <w:pPr>
      <w:spacing w:before="60" w:after="60"/>
    </w:pPr>
  </w:style>
  <w:style w:type="paragraph" w:styleId="ListContinue">
    <w:name w:val="List Continue"/>
    <w:basedOn w:val="List"/>
    <w:rsid w:val="006371B8"/>
    <w:pPr>
      <w:ind w:firstLine="0"/>
    </w:pPr>
  </w:style>
  <w:style w:type="paragraph" w:customStyle="1" w:styleId="ListNote">
    <w:name w:val="List Note"/>
    <w:basedOn w:val="List"/>
    <w:rsid w:val="006371B8"/>
    <w:pPr>
      <w:pBdr>
        <w:top w:val="single" w:sz="6" w:space="2" w:color="918585"/>
        <w:bottom w:val="single" w:sz="6" w:space="2" w:color="918585"/>
      </w:pBdr>
      <w:tabs>
        <w:tab w:val="left" w:pos="1021"/>
      </w:tabs>
      <w:ind w:firstLine="0"/>
    </w:pPr>
  </w:style>
  <w:style w:type="paragraph" w:customStyle="1" w:styleId="Warning">
    <w:name w:val="Warning"/>
    <w:basedOn w:val="BodyText"/>
    <w:rsid w:val="006371B8"/>
    <w:pPr>
      <w:shd w:val="clear" w:color="auto" w:fill="D9D9D9"/>
      <w:tabs>
        <w:tab w:val="left" w:pos="992"/>
      </w:tabs>
      <w:ind w:left="119" w:right="119"/>
    </w:pPr>
    <w:rPr>
      <w:sz w:val="20"/>
    </w:rPr>
  </w:style>
  <w:style w:type="paragraph" w:customStyle="1" w:styleId="MarginIcons">
    <w:name w:val="Margin Icons"/>
    <w:basedOn w:val="BodyText"/>
    <w:rsid w:val="006371B8"/>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6371B8"/>
    <w:rPr>
      <w:rFonts w:ascii="Courier New" w:hAnsi="Courier New"/>
    </w:rPr>
  </w:style>
  <w:style w:type="paragraph" w:customStyle="1" w:styleId="NoteBullet">
    <w:name w:val="Note Bullet"/>
    <w:basedOn w:val="Note"/>
    <w:rsid w:val="006371B8"/>
    <w:pPr>
      <w:tabs>
        <w:tab w:val="clear" w:pos="680"/>
      </w:tabs>
      <w:spacing w:before="60" w:after="60"/>
    </w:pPr>
  </w:style>
  <w:style w:type="paragraph" w:customStyle="1" w:styleId="SubHeading2">
    <w:name w:val="SubHeading2"/>
    <w:basedOn w:val="HeadingBase"/>
    <w:rsid w:val="006371B8"/>
    <w:pPr>
      <w:spacing w:before="240" w:after="60"/>
    </w:pPr>
    <w:rPr>
      <w:sz w:val="20"/>
    </w:rPr>
  </w:style>
  <w:style w:type="paragraph" w:customStyle="1" w:styleId="SubHeading1">
    <w:name w:val="SubHeading1"/>
    <w:basedOn w:val="HeadingBase"/>
    <w:rsid w:val="006371B8"/>
    <w:pPr>
      <w:spacing w:before="240" w:after="60"/>
    </w:pPr>
    <w:rPr>
      <w:color w:val="918585"/>
      <w:sz w:val="22"/>
    </w:rPr>
  </w:style>
  <w:style w:type="paragraph" w:customStyle="1" w:styleId="SideHeading">
    <w:name w:val="Side Heading"/>
    <w:basedOn w:val="HeadingBase"/>
    <w:rsid w:val="006371B8"/>
    <w:pPr>
      <w:framePr w:w="2268" w:h="567" w:hSpace="181" w:vSpace="181" w:wrap="around" w:vAnchor="text" w:hAnchor="page" w:x="1419" w:y="370" w:anchorLock="1"/>
    </w:pPr>
    <w:rPr>
      <w:sz w:val="22"/>
    </w:rPr>
  </w:style>
  <w:style w:type="paragraph" w:customStyle="1" w:styleId="TableListBullet">
    <w:name w:val="Table List Bullet"/>
    <w:basedOn w:val="ListBullet"/>
    <w:rsid w:val="006371B8"/>
    <w:pPr>
      <w:numPr>
        <w:numId w:val="12"/>
      </w:numPr>
    </w:pPr>
  </w:style>
  <w:style w:type="paragraph" w:styleId="PlainText">
    <w:name w:val="Plain Text"/>
    <w:basedOn w:val="Normal"/>
    <w:link w:val="PlainTextChar"/>
    <w:rsid w:val="006371B8"/>
    <w:rPr>
      <w:sz w:val="20"/>
    </w:rPr>
  </w:style>
  <w:style w:type="character" w:customStyle="1" w:styleId="PlainTextChar">
    <w:name w:val="Plain Text Char"/>
    <w:basedOn w:val="DefaultParagraphFont"/>
    <w:link w:val="PlainText"/>
    <w:rsid w:val="006371B8"/>
    <w:rPr>
      <w:rFonts w:ascii="Courier New" w:eastAsia="Times New Roman" w:hAnsi="Courier New" w:cs="Times New Roman"/>
      <w:sz w:val="20"/>
      <w:szCs w:val="20"/>
      <w:lang w:eastAsia="en-US"/>
    </w:rPr>
  </w:style>
  <w:style w:type="character" w:customStyle="1" w:styleId="MenuOption">
    <w:name w:val="Menu Option"/>
    <w:basedOn w:val="DefaultParagraphFont"/>
    <w:rsid w:val="006371B8"/>
    <w:rPr>
      <w:b/>
      <w:smallCaps/>
    </w:rPr>
  </w:style>
  <w:style w:type="paragraph" w:customStyle="1" w:styleId="TableListNumber">
    <w:name w:val="Table List Number"/>
    <w:basedOn w:val="ListNumber"/>
    <w:rsid w:val="006371B8"/>
    <w:pPr>
      <w:numPr>
        <w:numId w:val="0"/>
      </w:numPr>
    </w:pPr>
  </w:style>
  <w:style w:type="paragraph" w:styleId="TOC4">
    <w:name w:val="toc 4"/>
    <w:basedOn w:val="TOCBase"/>
    <w:next w:val="Normal"/>
    <w:semiHidden/>
    <w:rsid w:val="006371B8"/>
    <w:pPr>
      <w:tabs>
        <w:tab w:val="right" w:leader="dot" w:pos="9071"/>
      </w:tabs>
      <w:ind w:left="1701"/>
    </w:pPr>
  </w:style>
  <w:style w:type="paragraph" w:customStyle="1" w:styleId="ListAlpha">
    <w:name w:val="List Alpha"/>
    <w:basedOn w:val="List"/>
    <w:rsid w:val="006371B8"/>
    <w:pPr>
      <w:numPr>
        <w:numId w:val="9"/>
      </w:numPr>
    </w:pPr>
  </w:style>
  <w:style w:type="paragraph" w:customStyle="1" w:styleId="ListAlpha2">
    <w:name w:val="List Alpha 2"/>
    <w:basedOn w:val="List2"/>
    <w:rsid w:val="006371B8"/>
    <w:pPr>
      <w:numPr>
        <w:numId w:val="8"/>
      </w:numPr>
    </w:pPr>
  </w:style>
  <w:style w:type="paragraph" w:styleId="List2">
    <w:name w:val="List 2"/>
    <w:basedOn w:val="BodyText"/>
    <w:rsid w:val="006371B8"/>
    <w:pPr>
      <w:tabs>
        <w:tab w:val="left" w:pos="680"/>
      </w:tabs>
      <w:spacing w:before="60" w:after="60"/>
      <w:ind w:left="680" w:hanging="340"/>
    </w:pPr>
  </w:style>
  <w:style w:type="paragraph" w:styleId="List3">
    <w:name w:val="List 3"/>
    <w:basedOn w:val="BodyText"/>
    <w:rsid w:val="006371B8"/>
    <w:pPr>
      <w:tabs>
        <w:tab w:val="left" w:pos="1021"/>
      </w:tabs>
      <w:spacing w:before="60" w:after="60"/>
      <w:ind w:left="1020" w:hanging="340"/>
    </w:pPr>
  </w:style>
  <w:style w:type="paragraph" w:styleId="List4">
    <w:name w:val="List 4"/>
    <w:basedOn w:val="BodyText"/>
    <w:rsid w:val="006371B8"/>
    <w:pPr>
      <w:tabs>
        <w:tab w:val="left" w:pos="1361"/>
      </w:tabs>
      <w:spacing w:before="60" w:after="60"/>
      <w:ind w:left="1361" w:hanging="340"/>
    </w:pPr>
  </w:style>
  <w:style w:type="paragraph" w:styleId="List5">
    <w:name w:val="List 5"/>
    <w:basedOn w:val="BodyText"/>
    <w:rsid w:val="006371B8"/>
    <w:pPr>
      <w:tabs>
        <w:tab w:val="left" w:pos="1701"/>
      </w:tabs>
      <w:spacing w:before="60" w:after="60"/>
      <w:ind w:left="1701" w:hanging="340"/>
    </w:pPr>
  </w:style>
  <w:style w:type="paragraph" w:styleId="ListBullet3">
    <w:name w:val="List Bullet 3"/>
    <w:basedOn w:val="List3"/>
    <w:rsid w:val="006371B8"/>
    <w:pPr>
      <w:numPr>
        <w:numId w:val="15"/>
      </w:numPr>
      <w:tabs>
        <w:tab w:val="clear" w:pos="1021"/>
      </w:tabs>
      <w:ind w:left="1037" w:hanging="357"/>
    </w:pPr>
  </w:style>
  <w:style w:type="paragraph" w:styleId="ListBullet4">
    <w:name w:val="List Bullet 4"/>
    <w:basedOn w:val="List4"/>
    <w:rsid w:val="006371B8"/>
    <w:pPr>
      <w:numPr>
        <w:numId w:val="3"/>
      </w:numPr>
    </w:pPr>
  </w:style>
  <w:style w:type="paragraph" w:styleId="ListBullet5">
    <w:name w:val="List Bullet 5"/>
    <w:basedOn w:val="List5"/>
    <w:rsid w:val="006371B8"/>
    <w:pPr>
      <w:numPr>
        <w:numId w:val="4"/>
      </w:numPr>
    </w:pPr>
  </w:style>
  <w:style w:type="paragraph" w:styleId="ListContinue2">
    <w:name w:val="List Continue 2"/>
    <w:basedOn w:val="List2"/>
    <w:rsid w:val="006371B8"/>
    <w:pPr>
      <w:ind w:firstLine="0"/>
    </w:pPr>
  </w:style>
  <w:style w:type="paragraph" w:styleId="ListContinue3">
    <w:name w:val="List Continue 3"/>
    <w:basedOn w:val="List3"/>
    <w:rsid w:val="006371B8"/>
    <w:pPr>
      <w:ind w:left="1021" w:firstLine="0"/>
    </w:pPr>
  </w:style>
  <w:style w:type="paragraph" w:styleId="ListContinue4">
    <w:name w:val="List Continue 4"/>
    <w:basedOn w:val="List4"/>
    <w:rsid w:val="006371B8"/>
    <w:pPr>
      <w:ind w:firstLine="0"/>
    </w:pPr>
  </w:style>
  <w:style w:type="paragraph" w:styleId="ListContinue5">
    <w:name w:val="List Continue 5"/>
    <w:basedOn w:val="List5"/>
    <w:rsid w:val="006371B8"/>
    <w:pPr>
      <w:ind w:firstLine="0"/>
    </w:pPr>
  </w:style>
  <w:style w:type="paragraph" w:styleId="ListNumber3">
    <w:name w:val="List Number 3"/>
    <w:basedOn w:val="List3"/>
    <w:rsid w:val="006371B8"/>
    <w:pPr>
      <w:numPr>
        <w:numId w:val="5"/>
      </w:numPr>
    </w:pPr>
  </w:style>
  <w:style w:type="paragraph" w:styleId="ListNumber4">
    <w:name w:val="List Number 4"/>
    <w:basedOn w:val="List4"/>
    <w:rsid w:val="006371B8"/>
    <w:pPr>
      <w:numPr>
        <w:numId w:val="6"/>
      </w:numPr>
    </w:pPr>
  </w:style>
  <w:style w:type="paragraph" w:styleId="ListNumber5">
    <w:name w:val="List Number 5"/>
    <w:basedOn w:val="List5"/>
    <w:rsid w:val="006371B8"/>
    <w:pPr>
      <w:numPr>
        <w:numId w:val="7"/>
      </w:numPr>
    </w:pPr>
  </w:style>
  <w:style w:type="paragraph" w:styleId="BlockText">
    <w:name w:val="Block Text"/>
    <w:basedOn w:val="Normal"/>
    <w:rsid w:val="006371B8"/>
    <w:pPr>
      <w:spacing w:after="120"/>
      <w:ind w:left="1440" w:right="1440"/>
    </w:pPr>
  </w:style>
  <w:style w:type="character" w:customStyle="1" w:styleId="Subscript">
    <w:name w:val="Subscript"/>
    <w:basedOn w:val="DefaultParagraphFont"/>
    <w:rsid w:val="006371B8"/>
    <w:rPr>
      <w:sz w:val="16"/>
      <w:vertAlign w:val="subscript"/>
    </w:rPr>
  </w:style>
  <w:style w:type="character" w:customStyle="1" w:styleId="Superscript">
    <w:name w:val="Superscript"/>
    <w:basedOn w:val="DefaultParagraphFont"/>
    <w:rsid w:val="006371B8"/>
    <w:rPr>
      <w:sz w:val="16"/>
      <w:vertAlign w:val="superscript"/>
    </w:rPr>
  </w:style>
  <w:style w:type="character" w:customStyle="1" w:styleId="Symbols">
    <w:name w:val="Symbols"/>
    <w:basedOn w:val="DefaultParagraphFont"/>
    <w:rsid w:val="006371B8"/>
    <w:rPr>
      <w:rFonts w:ascii="Symbol" w:hAnsi="Symbol"/>
    </w:rPr>
  </w:style>
  <w:style w:type="character" w:customStyle="1" w:styleId="MenuOptions">
    <w:name w:val="Menu Options"/>
    <w:basedOn w:val="DefaultParagraphFont"/>
    <w:rsid w:val="006371B8"/>
    <w:rPr>
      <w:rFonts w:ascii="Arial Narrow" w:hAnsi="Arial Narrow"/>
      <w:smallCaps/>
    </w:rPr>
  </w:style>
  <w:style w:type="character" w:customStyle="1" w:styleId="Buttons">
    <w:name w:val="Buttons"/>
    <w:basedOn w:val="DefaultParagraphFont"/>
    <w:rsid w:val="006371B8"/>
    <w:rPr>
      <w:b/>
    </w:rPr>
  </w:style>
  <w:style w:type="character" w:customStyle="1" w:styleId="Underlined">
    <w:name w:val="Underlined"/>
    <w:basedOn w:val="DefaultParagraphFont"/>
    <w:rsid w:val="006371B8"/>
    <w:rPr>
      <w:u w:val="single"/>
    </w:rPr>
  </w:style>
  <w:style w:type="paragraph" w:customStyle="1" w:styleId="TableBodyTextRight">
    <w:name w:val="Table Body Text Right"/>
    <w:basedOn w:val="TableBodyText"/>
    <w:rsid w:val="006371B8"/>
    <w:pPr>
      <w:widowControl w:val="0"/>
      <w:autoSpaceDE w:val="0"/>
      <w:autoSpaceDN w:val="0"/>
      <w:adjustRightInd w:val="0"/>
      <w:jc w:val="right"/>
    </w:pPr>
    <w:rPr>
      <w:rFonts w:cs="Arial"/>
      <w:szCs w:val="18"/>
    </w:rPr>
  </w:style>
  <w:style w:type="paragraph" w:customStyle="1" w:styleId="CopyrightText">
    <w:name w:val="Copyright Text"/>
    <w:basedOn w:val="BodyText"/>
    <w:rsid w:val="006371B8"/>
    <w:rPr>
      <w:sz w:val="18"/>
    </w:rPr>
  </w:style>
  <w:style w:type="paragraph" w:customStyle="1" w:styleId="BodySmallRight">
    <w:name w:val="Body Small Right"/>
    <w:basedOn w:val="BodyTextRight"/>
    <w:rsid w:val="006371B8"/>
    <w:rPr>
      <w:sz w:val="18"/>
      <w:szCs w:val="18"/>
    </w:rPr>
  </w:style>
  <w:style w:type="paragraph" w:customStyle="1" w:styleId="MarginEdition">
    <w:name w:val="Margin Edition"/>
    <w:basedOn w:val="MarginNote"/>
    <w:rsid w:val="006371B8"/>
    <w:pPr>
      <w:spacing w:before="0" w:after="0"/>
    </w:pPr>
    <w:rPr>
      <w:rFonts w:ascii="Times New Roman" w:hAnsi="Times New Roman"/>
      <w:color w:val="999999"/>
    </w:rPr>
  </w:style>
  <w:style w:type="paragraph" w:customStyle="1" w:styleId="Spacer">
    <w:name w:val="Spacer"/>
    <w:basedOn w:val="Normal"/>
    <w:rsid w:val="006371B8"/>
    <w:rPr>
      <w:sz w:val="2"/>
      <w:szCs w:val="2"/>
    </w:rPr>
  </w:style>
  <w:style w:type="character" w:customStyle="1" w:styleId="Small">
    <w:name w:val="Small"/>
    <w:basedOn w:val="DefaultParagraphFont"/>
    <w:rsid w:val="006371B8"/>
    <w:rPr>
      <w:sz w:val="16"/>
    </w:rPr>
  </w:style>
  <w:style w:type="paragraph" w:customStyle="1" w:styleId="WideTable">
    <w:name w:val="Wide Table"/>
    <w:basedOn w:val="Normal"/>
    <w:rsid w:val="006371B8"/>
    <w:pPr>
      <w:ind w:left="-1418"/>
    </w:pPr>
    <w:rPr>
      <w:sz w:val="2"/>
      <w:szCs w:val="2"/>
    </w:rPr>
  </w:style>
  <w:style w:type="character" w:styleId="PageNumber">
    <w:name w:val="page number"/>
    <w:basedOn w:val="DefaultParagraphFont"/>
    <w:rsid w:val="006371B8"/>
  </w:style>
  <w:style w:type="paragraph" w:styleId="Quote">
    <w:name w:val="Quote"/>
    <w:basedOn w:val="Heading1"/>
    <w:link w:val="QuoteChar"/>
    <w:qFormat/>
    <w:rsid w:val="006371B8"/>
    <w:rPr>
      <w:b w:val="0"/>
      <w:sz w:val="72"/>
      <w:szCs w:val="72"/>
      <w:lang w:val="en-NZ"/>
    </w:rPr>
  </w:style>
  <w:style w:type="character" w:customStyle="1" w:styleId="QuoteChar">
    <w:name w:val="Quote Char"/>
    <w:basedOn w:val="DefaultParagraphFont"/>
    <w:link w:val="Quote"/>
    <w:rsid w:val="006371B8"/>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6371B8"/>
    <w:pPr>
      <w:pageBreakBefore/>
    </w:pPr>
  </w:style>
  <w:style w:type="paragraph" w:customStyle="1" w:styleId="Border">
    <w:name w:val="Border"/>
    <w:basedOn w:val="Normal"/>
    <w:qFormat/>
    <w:rsid w:val="006371B8"/>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6371B8"/>
    <w:rPr>
      <w:b/>
      <w:bCs/>
      <w:i/>
      <w:iCs/>
      <w:color w:val="auto"/>
    </w:rPr>
  </w:style>
  <w:style w:type="paragraph" w:styleId="IntenseQuote">
    <w:name w:val="Intense Quote"/>
    <w:basedOn w:val="Normal"/>
    <w:next w:val="Normal"/>
    <w:link w:val="IntenseQuoteChar"/>
    <w:uiPriority w:val="30"/>
    <w:qFormat/>
    <w:rsid w:val="006371B8"/>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6371B8"/>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6371B8"/>
    <w:rPr>
      <w:smallCaps/>
      <w:color w:val="auto"/>
      <w:u w:val="single"/>
    </w:rPr>
  </w:style>
  <w:style w:type="character" w:styleId="IntenseReference">
    <w:name w:val="Intense Reference"/>
    <w:basedOn w:val="DefaultParagraphFont"/>
    <w:uiPriority w:val="32"/>
    <w:qFormat/>
    <w:rsid w:val="006371B8"/>
    <w:rPr>
      <w:b/>
      <w:bCs/>
      <w:smallCaps/>
      <w:color w:val="auto"/>
      <w:spacing w:val="5"/>
      <w:u w:val="single"/>
    </w:rPr>
  </w:style>
  <w:style w:type="paragraph" w:customStyle="1" w:styleId="2ColumnHeading">
    <w:name w:val="2Column Heading"/>
    <w:basedOn w:val="BodyText"/>
    <w:qFormat/>
    <w:rsid w:val="006371B8"/>
    <w:pPr>
      <w:spacing w:after="60"/>
      <w:ind w:left="-2268"/>
    </w:pPr>
    <w:rPr>
      <w:b/>
    </w:rPr>
  </w:style>
  <w:style w:type="paragraph" w:customStyle="1" w:styleId="Heading1TOC">
    <w:name w:val="Heading1 TOC"/>
    <w:basedOn w:val="Normal"/>
    <w:qFormat/>
    <w:rsid w:val="006371B8"/>
    <w:pPr>
      <w:spacing w:before="240" w:after="120"/>
    </w:pPr>
    <w:rPr>
      <w:rFonts w:ascii="Times New Roman" w:hAnsi="Times New Roman"/>
      <w:b/>
      <w:sz w:val="32"/>
    </w:rPr>
  </w:style>
  <w:style w:type="paragraph" w:customStyle="1" w:styleId="Heading2TOC">
    <w:name w:val="Heading2 TOC"/>
    <w:basedOn w:val="Normal"/>
    <w:qFormat/>
    <w:rsid w:val="006371B8"/>
    <w:pPr>
      <w:spacing w:before="240" w:after="60"/>
    </w:pPr>
    <w:rPr>
      <w:rFonts w:ascii="Times New Roman" w:hAnsi="Times New Roman"/>
      <w:b/>
      <w:sz w:val="28"/>
    </w:rPr>
  </w:style>
  <w:style w:type="character" w:customStyle="1" w:styleId="Underline">
    <w:name w:val="Underline"/>
    <w:basedOn w:val="DefaultParagraphFont"/>
    <w:qFormat/>
    <w:rsid w:val="006371B8"/>
    <w:rPr>
      <w:u w:val="single"/>
    </w:rPr>
  </w:style>
  <w:style w:type="character" w:customStyle="1" w:styleId="BoldandItalics">
    <w:name w:val="Bold and Italics"/>
    <w:qFormat/>
    <w:rsid w:val="006371B8"/>
    <w:rPr>
      <w:b/>
      <w:i/>
      <w:u w:val="none"/>
    </w:rPr>
  </w:style>
  <w:style w:type="paragraph" w:styleId="BalloonText">
    <w:name w:val="Balloon Text"/>
    <w:basedOn w:val="Normal"/>
    <w:link w:val="BalloonTextChar"/>
    <w:rsid w:val="006371B8"/>
    <w:rPr>
      <w:rFonts w:ascii="Tahoma" w:hAnsi="Tahoma" w:cs="Tahoma"/>
      <w:sz w:val="16"/>
      <w:szCs w:val="16"/>
    </w:rPr>
  </w:style>
  <w:style w:type="character" w:customStyle="1" w:styleId="BalloonTextChar">
    <w:name w:val="Balloon Text Char"/>
    <w:basedOn w:val="DefaultParagraphFont"/>
    <w:link w:val="BalloonText"/>
    <w:rsid w:val="006371B8"/>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6371B8"/>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6371B8"/>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6371B8"/>
    <w:rPr>
      <w:b/>
      <w:color w:val="660033"/>
      <w:spacing w:val="0"/>
    </w:rPr>
  </w:style>
  <w:style w:type="paragraph" w:customStyle="1" w:styleId="Nameditemlist">
    <w:name w:val="Named item list"/>
    <w:basedOn w:val="BodyText"/>
    <w:qFormat/>
    <w:rsid w:val="006371B8"/>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1970</Words>
  <Characters>11777</Characters>
  <Application>Microsoft Office Word</Application>
  <DocSecurity>0</DocSecurity>
  <Lines>473</Lines>
  <Paragraphs>182</Paragraphs>
  <ScaleCrop>false</ScaleCrop>
  <Company>Author-it Software Corporation Ltd.</Company>
  <LinksUpToDate>false</LinksUpToDate>
  <CharactersWithSpaces>13586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UEENEEH006B Assemble and set up fixed audio/video components and systems in buildings and premises</dc:title>
  <dc:subject>Approved</dc:subject>
  <dc:creator>EE-Oz Training Standards</dc:creator>
  <cp:keywords>Release: 1</cp:keywords>
  <dc:description>Copyright © 1996-2007 Author-it Software Corporation Ltd., all rights reserved.</dc:description>
  <cp:lastModifiedBy>TPCMS</cp:lastModifiedBy>
  <cp:revision>3</cp:revision>
  <dcterms:created xsi:type="dcterms:W3CDTF">2012-10-11T21:40:00Z</dcterms:created>
  <dcterms:modified xsi:type="dcterms:W3CDTF">2012-10-11T21:40:00Z</dcterms:modified>
</cp:coreProperties>
</file>