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2E1" w:rsidRDefault="005272E1" w:rsidP="005272E1">
      <w:pPr>
        <w:pStyle w:val="Title"/>
      </w:pPr>
      <w:fldSimple w:instr=" TITLE   \* MERGEFORMAT ">
        <w:r>
          <w:t>TLIX0021X Work with global supply chains</w:t>
        </w:r>
      </w:fldSimple>
    </w:p>
    <w:p w:rsidR="005272E1" w:rsidRDefault="005272E1" w:rsidP="005272E1">
      <w:pPr>
        <w:pStyle w:val="Version"/>
        <w:sectPr w:rsidR="005272E1" w:rsidSect="009A5872">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9A5872" w:rsidRDefault="005272E1" w:rsidP="009A5872">
      <w:pPr>
        <w:pStyle w:val="SuperHeading"/>
      </w:pPr>
      <w:r w:rsidRPr="009A5872">
        <w:lastRenderedPageBreak/>
        <w:t>TLIX0021X Work with global supply chains</w:t>
      </w:r>
    </w:p>
    <w:p w:rsidR="00000000" w:rsidRPr="009A5872" w:rsidRDefault="005272E1" w:rsidP="009A5872">
      <w:pPr>
        <w:pStyle w:val="Heading1"/>
      </w:pPr>
      <w:bookmarkStart w:id="1" w:name="O_1066481"/>
      <w:bookmarkEnd w:id="1"/>
      <w:r w:rsidRPr="009A5872">
        <w:t>Modification History</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9A5872" w:rsidTr="009A5872">
        <w:tc>
          <w:tcPr>
            <w:tcW w:w="9497"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Release 1.</w:t>
            </w:r>
            <w:r w:rsidRPr="009A5872">
              <w:t xml:space="preserve"> This is the first release of this unit of competency in the TLI Transport and Logistics Training Package.</w:t>
            </w:r>
          </w:p>
        </w:tc>
      </w:tr>
    </w:tbl>
    <w:p w:rsidR="00000000" w:rsidRPr="009A5872" w:rsidRDefault="005272E1" w:rsidP="009A5872">
      <w:pPr>
        <w:pStyle w:val="NoPaddingFontSize1"/>
      </w:pPr>
    </w:p>
    <w:p w:rsidR="00000000" w:rsidRPr="009A5872" w:rsidRDefault="005272E1" w:rsidP="009A5872">
      <w:pPr>
        <w:pStyle w:val="AllowPageBreak"/>
      </w:pPr>
    </w:p>
    <w:p w:rsidR="00000000" w:rsidRPr="009A5872" w:rsidRDefault="005272E1" w:rsidP="009A5872">
      <w:pPr>
        <w:pStyle w:val="Heading1"/>
      </w:pPr>
      <w:bookmarkStart w:id="2" w:name="O_1066482"/>
      <w:bookmarkEnd w:id="2"/>
      <w:r w:rsidRPr="009A5872">
        <w:t>Application</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9A5872" w:rsidTr="009A5872">
        <w:tc>
          <w:tcPr>
            <w:tcW w:w="9497"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t>This unit of competency describes the skills and knowledge required to work with glob</w:t>
            </w:r>
            <w:r w:rsidRPr="009A5872">
              <w:t>al supply chains. It includes identifying global supply chain products and services, confirming relationships with suppliers and customers, monitoring global supply operations, maintaining supply chain compliance and implementing improvements to global sup</w:t>
            </w:r>
            <w:r w:rsidRPr="009A5872">
              <w:t xml:space="preserve">ply chain operations. </w:t>
            </w:r>
          </w:p>
          <w:p w:rsidR="00000000" w:rsidRPr="009A5872" w:rsidRDefault="005272E1" w:rsidP="009A5872">
            <w:pPr>
              <w:pStyle w:val="BodyText"/>
            </w:pPr>
            <w:r w:rsidRPr="009A5872">
              <w:t>A supply chain that operates globally will encompass a network of suppliers, manufacturers, warehouses, shipping and transport companies, wholesalers and retailers working across a variety of countries to provide an end product. Succ</w:t>
            </w:r>
            <w:r w:rsidRPr="009A5872">
              <w:t>essful global supply chains ensure that the right types of goods and materials are sourced, supplied, produced and shipped in the right quantities, to the right locations, at the right time and in the right condition.</w:t>
            </w:r>
          </w:p>
          <w:p w:rsidR="00000000" w:rsidRPr="009A5872" w:rsidRDefault="005272E1" w:rsidP="009A5872">
            <w:pPr>
              <w:pStyle w:val="BodyText"/>
            </w:pPr>
            <w:r w:rsidRPr="009A5872">
              <w:t xml:space="preserve">The unit is applicable to individuals </w:t>
            </w:r>
            <w:r w:rsidRPr="009A5872">
              <w:t xml:space="preserve">who work in global supply chains. </w:t>
            </w:r>
          </w:p>
          <w:p w:rsidR="00000000" w:rsidRPr="009A5872" w:rsidRDefault="005272E1" w:rsidP="009A5872">
            <w:pPr>
              <w:pStyle w:val="BodyText"/>
            </w:pPr>
            <w:r w:rsidRPr="009A5872">
              <w:t>No licensing, legislative or certification requirements apply to this unit at the time of publication.</w:t>
            </w:r>
          </w:p>
        </w:tc>
      </w:tr>
    </w:tbl>
    <w:p w:rsidR="005272E1" w:rsidRDefault="005272E1" w:rsidP="009A5872">
      <w:pPr>
        <w:pStyle w:val="NoPaddingFontSize1"/>
      </w:pPr>
    </w:p>
    <w:p w:rsidR="005272E1" w:rsidRDefault="005272E1" w:rsidP="009A5872">
      <w:pPr>
        <w:pStyle w:val="NoPaddingFontSize1"/>
      </w:pPr>
    </w:p>
    <w:p w:rsidR="00000000" w:rsidRPr="009A5872" w:rsidRDefault="005272E1" w:rsidP="009A5872">
      <w:pPr>
        <w:pStyle w:val="Heading1"/>
      </w:pPr>
      <w:bookmarkStart w:id="3" w:name="O_1066483"/>
      <w:bookmarkEnd w:id="3"/>
      <w:r w:rsidRPr="009A5872">
        <w:t>Pre-requisite Unit</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9A5872" w:rsidTr="009A5872">
        <w:tc>
          <w:tcPr>
            <w:tcW w:w="9497"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t>Not applicable</w:t>
            </w:r>
          </w:p>
        </w:tc>
      </w:tr>
    </w:tbl>
    <w:p w:rsidR="005272E1" w:rsidRDefault="005272E1" w:rsidP="009A5872">
      <w:pPr>
        <w:pStyle w:val="NoPaddingFontSize1"/>
      </w:pPr>
    </w:p>
    <w:p w:rsidR="005272E1" w:rsidRDefault="005272E1" w:rsidP="009A5872">
      <w:pPr>
        <w:pStyle w:val="NoPaddingFontSize1"/>
      </w:pPr>
    </w:p>
    <w:p w:rsidR="00000000" w:rsidRPr="009A5872" w:rsidRDefault="005272E1" w:rsidP="009A5872">
      <w:pPr>
        <w:pStyle w:val="Heading1"/>
      </w:pPr>
      <w:bookmarkStart w:id="4" w:name="O_1066484"/>
      <w:bookmarkEnd w:id="4"/>
      <w:r w:rsidRPr="009A5872">
        <w:t>Competency Field</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9A5872" w:rsidTr="009A5872">
        <w:tc>
          <w:tcPr>
            <w:tcW w:w="9497"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t>X - Logistics</w:t>
            </w:r>
          </w:p>
        </w:tc>
      </w:tr>
    </w:tbl>
    <w:p w:rsidR="005272E1" w:rsidRDefault="005272E1" w:rsidP="009A5872">
      <w:pPr>
        <w:pStyle w:val="NoPaddingFontSize1"/>
      </w:pPr>
    </w:p>
    <w:p w:rsidR="005272E1" w:rsidRDefault="005272E1" w:rsidP="009A5872">
      <w:pPr>
        <w:pStyle w:val="NoPaddingFontSize1"/>
      </w:pPr>
    </w:p>
    <w:p w:rsidR="00000000" w:rsidRPr="009A5872" w:rsidRDefault="005272E1" w:rsidP="009A5872">
      <w:pPr>
        <w:pStyle w:val="Heading1"/>
      </w:pPr>
      <w:bookmarkStart w:id="5" w:name="O_1066485"/>
      <w:bookmarkEnd w:id="5"/>
      <w:r w:rsidRPr="009A5872">
        <w:t>Unit Sector</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9A5872" w:rsidTr="009A5872">
        <w:tc>
          <w:tcPr>
            <w:tcW w:w="9497"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t>Cross sector</w:t>
            </w:r>
          </w:p>
        </w:tc>
      </w:tr>
    </w:tbl>
    <w:p w:rsidR="005272E1" w:rsidRDefault="005272E1" w:rsidP="009A5872">
      <w:pPr>
        <w:pStyle w:val="NoPaddingFontSize1"/>
      </w:pPr>
    </w:p>
    <w:p w:rsidR="005272E1" w:rsidRDefault="005272E1" w:rsidP="009A5872">
      <w:pPr>
        <w:pStyle w:val="NoPaddingFontSize1"/>
      </w:pPr>
    </w:p>
    <w:p w:rsidR="00000000" w:rsidRPr="009A5872" w:rsidRDefault="005272E1" w:rsidP="009A5872">
      <w:pPr>
        <w:pStyle w:val="Heading1"/>
      </w:pPr>
      <w:bookmarkStart w:id="6" w:name="O_1066486"/>
      <w:bookmarkEnd w:id="6"/>
      <w:r w:rsidRPr="009A5872">
        <w:t>Elements and Performance Criteria</w:t>
      </w:r>
    </w:p>
    <w:tbl>
      <w:tblPr>
        <w:tblW w:w="0" w:type="auto"/>
        <w:tblLayout w:type="fixed"/>
        <w:tblCellMar>
          <w:left w:w="62" w:type="dxa"/>
          <w:right w:w="62" w:type="dxa"/>
        </w:tblCellMar>
        <w:tblLook w:val="0000" w:firstRow="0" w:lastRow="0" w:firstColumn="0" w:lastColumn="0" w:noHBand="0" w:noVBand="0"/>
      </w:tblPr>
      <w:tblGrid>
        <w:gridCol w:w="403"/>
        <w:gridCol w:w="2839"/>
        <w:gridCol w:w="638"/>
        <w:gridCol w:w="5259"/>
      </w:tblGrid>
      <w:tr w:rsidR="009A5872" w:rsidTr="009A5872">
        <w:tc>
          <w:tcPr>
            <w:tcW w:w="3242" w:type="dxa"/>
            <w:gridSpan w:val="2"/>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ELEMENTS</w:t>
            </w:r>
          </w:p>
        </w:tc>
        <w:tc>
          <w:tcPr>
            <w:tcW w:w="5897" w:type="dxa"/>
            <w:gridSpan w:val="2"/>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PERFORMANCE CRITERIA</w:t>
            </w:r>
          </w:p>
        </w:tc>
      </w:tr>
      <w:tr w:rsidR="009A5872" w:rsidRPr="009A5872" w:rsidTr="009A5872">
        <w:tc>
          <w:tcPr>
            <w:tcW w:w="3242" w:type="dxa"/>
            <w:gridSpan w:val="2"/>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Elements describe the essential outcomes.</w:t>
            </w:r>
          </w:p>
        </w:tc>
        <w:tc>
          <w:tcPr>
            <w:tcW w:w="5897" w:type="dxa"/>
            <w:gridSpan w:val="2"/>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Performance criteria describe the performance needed to demonstrate achievement of the element.</w:t>
            </w:r>
          </w:p>
        </w:tc>
      </w:tr>
      <w:tr w:rsidR="00000000" w:rsidTr="009A5872">
        <w:tc>
          <w:tcPr>
            <w:tcW w:w="403"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1</w:t>
            </w:r>
          </w:p>
        </w:tc>
        <w:tc>
          <w:tcPr>
            <w:tcW w:w="2839"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 xml:space="preserve">Identify global supply </w:t>
            </w:r>
            <w:r w:rsidRPr="009A5872">
              <w:rPr>
                <w:rStyle w:val="SpecialBold"/>
              </w:rPr>
              <w:lastRenderedPageBreak/>
              <w:t>chain products and services</w:t>
            </w: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lastRenderedPageBreak/>
              <w:t>1.1</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Products, services, markets and stakeholders in the </w:t>
            </w:r>
            <w:r w:rsidRPr="009A5872">
              <w:lastRenderedPageBreak/>
              <w:t>global supply chain are identified</w:t>
            </w:r>
          </w:p>
        </w:tc>
      </w:tr>
      <w:tr w:rsidR="00000000" w:rsidTr="009A5872">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1.2</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Value a</w:t>
            </w:r>
            <w:r w:rsidRPr="009A5872">
              <w:t>dded by suppliers in the global supply chain is confirmed</w:t>
            </w:r>
          </w:p>
        </w:tc>
      </w:tr>
      <w:tr w:rsidR="00000000" w:rsidTr="009A5872">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1.3</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Supply chain policies and procedures are identified </w:t>
            </w:r>
          </w:p>
        </w:tc>
      </w:tr>
      <w:tr w:rsidR="00000000" w:rsidTr="009A5872">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1.4</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Performance and relationship history of suppliers in the global supply chain is reviewed </w:t>
            </w:r>
          </w:p>
        </w:tc>
      </w:tr>
      <w:tr w:rsidR="00000000" w:rsidTr="009A5872">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1.5</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Transportation, shipping and warehousing services for products and materials are identified</w:t>
            </w:r>
          </w:p>
        </w:tc>
      </w:tr>
      <w:tr w:rsidR="00000000" w:rsidTr="009A5872">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1.6</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Australian and international legislative and regulatory obligations are determined</w:t>
            </w:r>
          </w:p>
        </w:tc>
      </w:tr>
      <w:tr w:rsidR="00000000" w:rsidTr="009A5872">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1.7</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Formalised and documented contracts, including specifications, are reviewed</w:t>
            </w:r>
          </w:p>
        </w:tc>
      </w:tr>
      <w:tr w:rsidR="00000000" w:rsidRPr="009A5872" w:rsidTr="009A5872">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1.8</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Level of authority to perform in the global supply chain is verified</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2</w:t>
            </w:r>
          </w:p>
        </w:tc>
        <w:tc>
          <w:tcPr>
            <w:tcW w:w="2839"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Confirm relationships with suppliers and customers</w:t>
            </w: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2.1</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Digital systems and applications used to track</w:t>
            </w:r>
            <w:r w:rsidRPr="009A5872">
              <w:t xml:space="preserve"> progress and outcomes in the global supply chain are confirmed </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2.2</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Quality standards and processes are communicated to stakeholders, in accordance with supply chain policies and procedures </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2.3</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Commercial relationshi</w:t>
            </w:r>
            <w:r w:rsidRPr="009A5872">
              <w:t xml:space="preserve">ps are fostered using approved communication tools and channels </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2.4</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Stakeholder adherence to import and export regulations is monitored, in accordance with supply chain policies and procedures</w:t>
            </w:r>
          </w:p>
        </w:tc>
      </w:tr>
      <w:tr w:rsidR="00000000" w:rsidRPr="009A5872"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2.5</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Negotiations and dispute resolutions are conducted, </w:t>
            </w:r>
            <w:r w:rsidRPr="009A5872">
              <w:t>in accordance with supply chain policies and procedures</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3</w:t>
            </w:r>
          </w:p>
        </w:tc>
        <w:tc>
          <w:tcPr>
            <w:tcW w:w="2839"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Monitor global supply operations</w:t>
            </w: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3.1</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Use of digital systems and applications by stakeholders is monitored, in accordance with supply chain policies and procedures  </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3.2</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Production specifications and processes are monitored to ensure delivery time frames are met </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3.3</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Inventory flow is monitored, in accordance with </w:t>
            </w:r>
            <w:r w:rsidRPr="009A5872">
              <w:lastRenderedPageBreak/>
              <w:t xml:space="preserve">supply chain policies and procedures   </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3.4</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Transportation, warehousing and distribution centres are mon</w:t>
            </w:r>
            <w:r w:rsidRPr="009A5872">
              <w:t xml:space="preserve">itored, in accordance with supply chain policies and procedures, to ensure targets are being met  </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3.5</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Quality control standards for products and services are monitored, in accordance with supply chain policies and procedures</w:t>
            </w:r>
          </w:p>
        </w:tc>
      </w:tr>
      <w:tr w:rsidR="00000000" w:rsidRPr="009A5872"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3.6</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Risks are identified and monitored, in accordance with supply chain policies and procedures</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4</w:t>
            </w:r>
          </w:p>
        </w:tc>
        <w:tc>
          <w:tcPr>
            <w:tcW w:w="2839"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 xml:space="preserve">Maintain supply chain compliance </w:t>
            </w: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4.1</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Compliance to contractual requirements is tracked, in accordance with supply chain policies and procedures </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4.2</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Non-comp</w:t>
            </w:r>
            <w:r w:rsidRPr="009A5872">
              <w:t xml:space="preserve">liance with supply chain policies and procedures is investigated to determine cause  </w:t>
            </w:r>
          </w:p>
        </w:tc>
      </w:tr>
      <w:tr w:rsidR="00000000"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4.3</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Corrective actions for non-compliance are communicated to stakeholders, in accordance with supply chain policies and procedures </w:t>
            </w:r>
          </w:p>
        </w:tc>
      </w:tr>
      <w:tr w:rsidR="00000000" w:rsidRPr="009A5872" w:rsidTr="009A5872">
        <w:trPr>
          <w:trHeight w:val="564"/>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4.4</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Feedback from stakeholders </w:t>
            </w:r>
            <w:r w:rsidRPr="009A5872">
              <w:t xml:space="preserve">is sought on issues of concern and production practices in the global supply chain </w:t>
            </w:r>
          </w:p>
        </w:tc>
      </w:tr>
      <w:tr w:rsidR="00000000" w:rsidTr="009A5872">
        <w:trPr>
          <w:trHeight w:val="1068"/>
        </w:trPr>
        <w:tc>
          <w:tcPr>
            <w:tcW w:w="403"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5</w:t>
            </w:r>
          </w:p>
        </w:tc>
        <w:tc>
          <w:tcPr>
            <w:tcW w:w="2839"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rPr>
                <w:rStyle w:val="SpecialBold"/>
              </w:rPr>
              <w:t>Implement improvements to global supply chain operations</w:t>
            </w: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5. 1</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Data and information from digital systems and applications is collated and analysed, in accordance with supply chain policies and procedures</w:t>
            </w:r>
          </w:p>
        </w:tc>
      </w:tr>
      <w:tr w:rsidR="00000000" w:rsidTr="009A5872">
        <w:trPr>
          <w:trHeight w:val="1068"/>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5.2</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 xml:space="preserve">Outcomes from stakeholder feedback and compliance monitoring are evaluated </w:t>
            </w:r>
          </w:p>
        </w:tc>
      </w:tr>
      <w:tr w:rsidR="00000000" w:rsidTr="009A5872">
        <w:trPr>
          <w:trHeight w:val="1068"/>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5.3</w:t>
            </w:r>
          </w:p>
        </w:tc>
        <w:tc>
          <w:tcPr>
            <w:tcW w:w="5259"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t>Recommendations to improv</w:t>
            </w:r>
            <w:r w:rsidRPr="009A5872">
              <w:t xml:space="preserve">e global supply chain systems and operations are disseminated to approved stakeholders </w:t>
            </w:r>
          </w:p>
        </w:tc>
      </w:tr>
      <w:tr w:rsidR="00000000" w:rsidRPr="009A5872" w:rsidTr="009A5872">
        <w:trPr>
          <w:trHeight w:val="1068"/>
        </w:trPr>
        <w:tc>
          <w:tcPr>
            <w:tcW w:w="403" w:type="dxa"/>
            <w:tcBorders>
              <w:top w:val="nil"/>
              <w:left w:val="nil"/>
              <w:bottom w:val="nil"/>
              <w:right w:val="nil"/>
            </w:tcBorders>
            <w:tcMar>
              <w:top w:w="0" w:type="dxa"/>
              <w:left w:w="62" w:type="dxa"/>
              <w:bottom w:w="0" w:type="dxa"/>
              <w:right w:w="62" w:type="dxa"/>
            </w:tcMar>
          </w:tcPr>
          <w:p w:rsidR="00000000" w:rsidRDefault="005272E1">
            <w:pPr>
              <w:pStyle w:val="BodyText"/>
              <w:keepLines w:val="0"/>
              <w:rPr>
                <w:rFonts w:ascii="Tahoma" w:hAnsi="Tahoma"/>
                <w:sz w:val="20"/>
                <w:lang w:val="en-NZ"/>
              </w:rPr>
            </w:pPr>
          </w:p>
        </w:tc>
        <w:tc>
          <w:tcPr>
            <w:tcW w:w="2839" w:type="dxa"/>
            <w:tcBorders>
              <w:top w:val="nil"/>
              <w:left w:val="nil"/>
              <w:bottom w:val="nil"/>
              <w:right w:val="nil"/>
            </w:tcBorders>
            <w:tcMar>
              <w:top w:w="0" w:type="dxa"/>
              <w:left w:w="62" w:type="dxa"/>
              <w:bottom w:w="0" w:type="dxa"/>
              <w:right w:w="62" w:type="dxa"/>
            </w:tcMar>
          </w:tcPr>
          <w:p w:rsidR="00000000" w:rsidRPr="009A5872" w:rsidRDefault="005272E1">
            <w:pPr>
              <w:pStyle w:val="BodyText"/>
              <w:keepLines w:val="0"/>
            </w:pPr>
          </w:p>
        </w:tc>
        <w:tc>
          <w:tcPr>
            <w:tcW w:w="638" w:type="dxa"/>
            <w:tcBorders>
              <w:top w:val="nil"/>
              <w:left w:val="nil"/>
              <w:bottom w:val="nil"/>
              <w:right w:val="nil"/>
            </w:tcBorders>
            <w:tcMar>
              <w:top w:w="0" w:type="dxa"/>
              <w:left w:w="62" w:type="dxa"/>
              <w:bottom w:w="0" w:type="dxa"/>
              <w:right w:w="62" w:type="dxa"/>
            </w:tcMar>
          </w:tcPr>
          <w:p w:rsidR="00000000" w:rsidRDefault="005272E1" w:rsidP="009A5872">
            <w:pPr>
              <w:pStyle w:val="BodyText"/>
              <w:rPr>
                <w:lang w:val="en-NZ"/>
              </w:rPr>
            </w:pPr>
            <w:r w:rsidRPr="009A5872">
              <w:rPr>
                <w:rStyle w:val="SpecialBold"/>
              </w:rPr>
              <w:t>5.4</w:t>
            </w:r>
          </w:p>
        </w:tc>
        <w:tc>
          <w:tcPr>
            <w:tcW w:w="5259"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t xml:space="preserve">Changes to supply chain processes, practices and procedures are communicated to stakeholders </w:t>
            </w:r>
          </w:p>
        </w:tc>
      </w:tr>
    </w:tbl>
    <w:p w:rsidR="00000000" w:rsidRPr="009A5872" w:rsidRDefault="005272E1" w:rsidP="009A5872">
      <w:pPr>
        <w:pStyle w:val="NoPaddingFontSize1"/>
      </w:pPr>
    </w:p>
    <w:p w:rsidR="00000000" w:rsidRPr="009A5872" w:rsidRDefault="005272E1" w:rsidP="009A5872">
      <w:pPr>
        <w:pStyle w:val="AllowPageBreak"/>
      </w:pPr>
    </w:p>
    <w:p w:rsidR="00000000" w:rsidRPr="009A5872" w:rsidRDefault="005272E1" w:rsidP="009A5872">
      <w:pPr>
        <w:pStyle w:val="Heading1"/>
      </w:pPr>
      <w:bookmarkStart w:id="7" w:name="O_1066487"/>
      <w:bookmarkEnd w:id="7"/>
      <w:r w:rsidRPr="009A5872">
        <w:t>Foundation Skills</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9A5872" w:rsidTr="009A5872">
        <w:tc>
          <w:tcPr>
            <w:tcW w:w="9497"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t>Foundation skills essential to performance are explicit in the performance criteria of this unit of competency.</w:t>
            </w:r>
          </w:p>
        </w:tc>
      </w:tr>
    </w:tbl>
    <w:p w:rsidR="005272E1" w:rsidRDefault="005272E1" w:rsidP="009A5872">
      <w:pPr>
        <w:pStyle w:val="NoPaddingFontSize1"/>
      </w:pPr>
    </w:p>
    <w:p w:rsidR="005272E1" w:rsidRDefault="005272E1" w:rsidP="009A5872">
      <w:pPr>
        <w:pStyle w:val="NoPaddingFontSize1"/>
      </w:pPr>
    </w:p>
    <w:p w:rsidR="00000000" w:rsidRPr="009A5872" w:rsidRDefault="005272E1" w:rsidP="009A5872">
      <w:pPr>
        <w:pStyle w:val="Heading1"/>
      </w:pPr>
      <w:bookmarkStart w:id="8" w:name="O_1066488"/>
      <w:bookmarkEnd w:id="8"/>
      <w:r w:rsidRPr="009A5872">
        <w:t>Range of Conditions</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9A5872" w:rsidTr="009A5872">
        <w:tc>
          <w:tcPr>
            <w:tcW w:w="9497"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t>Range is restricted to essential operating conditions and any other variables essential to the work en</w:t>
            </w:r>
            <w:r w:rsidRPr="009A5872">
              <w:t>vironment.</w:t>
            </w:r>
          </w:p>
          <w:p w:rsidR="00000000" w:rsidRPr="009A5872" w:rsidRDefault="005272E1" w:rsidP="009A5872">
            <w:pPr>
              <w:pStyle w:val="BodyText"/>
            </w:pPr>
            <w:r w:rsidRPr="009A5872">
              <w:t>Non-essential conditions may be found in the Companion Volume Implementation Guide.</w:t>
            </w:r>
          </w:p>
        </w:tc>
      </w:tr>
    </w:tbl>
    <w:p w:rsidR="005272E1" w:rsidRDefault="005272E1" w:rsidP="009A5872">
      <w:pPr>
        <w:pStyle w:val="NoPaddingFontSize1"/>
      </w:pPr>
    </w:p>
    <w:p w:rsidR="005272E1" w:rsidRDefault="005272E1" w:rsidP="009A5872">
      <w:pPr>
        <w:pStyle w:val="NoPaddingFontSize1"/>
      </w:pPr>
    </w:p>
    <w:p w:rsidR="00000000" w:rsidRPr="009A5872" w:rsidRDefault="005272E1" w:rsidP="009A5872">
      <w:pPr>
        <w:pStyle w:val="Heading1"/>
      </w:pPr>
      <w:bookmarkStart w:id="9" w:name="O_1066489"/>
      <w:bookmarkEnd w:id="9"/>
      <w:r w:rsidRPr="009A5872">
        <w:t>Unit Mapping Information</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9A5872" w:rsidTr="009A5872">
        <w:tc>
          <w:tcPr>
            <w:tcW w:w="9497" w:type="dxa"/>
            <w:tcBorders>
              <w:top w:val="nil"/>
              <w:left w:val="nil"/>
              <w:bottom w:val="nil"/>
              <w:right w:val="nil"/>
            </w:tcBorders>
            <w:tcMar>
              <w:top w:w="0" w:type="dxa"/>
              <w:left w:w="62" w:type="dxa"/>
              <w:bottom w:w="0" w:type="dxa"/>
              <w:right w:w="62" w:type="dxa"/>
            </w:tcMar>
          </w:tcPr>
          <w:p w:rsidR="00000000" w:rsidRPr="009A5872" w:rsidRDefault="005272E1" w:rsidP="009A5872">
            <w:pPr>
              <w:pStyle w:val="BodyText"/>
            </w:pPr>
            <w:r w:rsidRPr="009A5872">
              <w:t>This is a new unit. There is no equivalent unit.</w:t>
            </w:r>
          </w:p>
        </w:tc>
      </w:tr>
    </w:tbl>
    <w:p w:rsidR="005272E1" w:rsidRDefault="005272E1" w:rsidP="009A5872">
      <w:pPr>
        <w:pStyle w:val="NoPaddingFontSize1"/>
      </w:pPr>
    </w:p>
    <w:p w:rsidR="005272E1" w:rsidRDefault="005272E1" w:rsidP="009A5872">
      <w:pPr>
        <w:pStyle w:val="NoPaddingFontSize1"/>
      </w:pPr>
    </w:p>
    <w:p w:rsidR="00000000" w:rsidRPr="009A5872" w:rsidRDefault="005272E1" w:rsidP="009A5872">
      <w:pPr>
        <w:pStyle w:val="Heading1"/>
      </w:pPr>
      <w:bookmarkStart w:id="10" w:name="O_1066496"/>
      <w:bookmarkEnd w:id="10"/>
      <w:r w:rsidRPr="009A5872">
        <w:t>Links</w:t>
      </w:r>
    </w:p>
    <w:p w:rsidR="00000000" w:rsidRPr="009A5872" w:rsidRDefault="005272E1" w:rsidP="005272E1">
      <w:pPr>
        <w:pStyle w:val="BodyText"/>
      </w:pPr>
      <w:r w:rsidRPr="009A5872">
        <w:t xml:space="preserve">Companion Volume Implementation </w:t>
      </w:r>
      <w:r w:rsidRPr="009A5872">
        <w:t xml:space="preserve">Guides are found in VETNet - </w:t>
      </w:r>
      <w:hyperlink r:id="rId13" w:history="1">
        <w:r w:rsidRPr="00821217">
          <w:rPr>
            <w:rStyle w:val="Hyperlink"/>
          </w:rPr>
          <w:t>https://vetnet.gov.au/Pages/TrainingDocs.aspx?q=df441c6e-213d-43e3-874c-0b3f7036d851</w:t>
        </w:r>
      </w:hyperlink>
    </w:p>
    <w:p w:rsidR="00000000" w:rsidRPr="009A5872" w:rsidRDefault="005272E1" w:rsidP="009A5872"/>
    <w:sectPr w:rsidR="00000000" w:rsidRPr="009A5872" w:rsidSect="009A5872">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872" w:rsidRDefault="009A5872" w:rsidP="009A5872">
      <w:r>
        <w:separator/>
      </w:r>
    </w:p>
  </w:endnote>
  <w:endnote w:type="continuationSeparator" w:id="0">
    <w:p w:rsidR="009A5872" w:rsidRDefault="009A5872" w:rsidP="009A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872" w:rsidRDefault="009A5872">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872" w:rsidRPr="005272E1" w:rsidRDefault="009A5872" w:rsidP="005272E1">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872" w:rsidRDefault="009A5872">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E1" w:rsidRDefault="005272E1" w:rsidP="009A5872">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5272E1" w:rsidRDefault="005272E1" w:rsidP="009A5872">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Australian Industry Standards</w:t>
      </w:r>
    </w:fldSimple>
  </w:p>
  <w:p w:rsidR="005272E1" w:rsidRDefault="005272E1" w:rsidP="009A5872">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872" w:rsidRDefault="009A5872" w:rsidP="009A5872">
      <w:r>
        <w:separator/>
      </w:r>
    </w:p>
  </w:footnote>
  <w:footnote w:type="continuationSeparator" w:id="0">
    <w:p w:rsidR="009A5872" w:rsidRDefault="009A5872" w:rsidP="009A58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872" w:rsidRDefault="009A5872">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E1" w:rsidRDefault="005272E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4348C8C" wp14:editId="3F00913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9A5872" w:rsidRPr="005272E1" w:rsidRDefault="009A5872" w:rsidP="005272E1">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5872" w:rsidRDefault="009A5872">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E1" w:rsidRPr="002D2AF8" w:rsidRDefault="005272E1" w:rsidP="009A5872">
    <w:pPr>
      <w:pStyle w:val="Header"/>
      <w:framePr w:wrap="around"/>
    </w:pPr>
    <w:fldSimple w:instr=" TITLE   \* MERGEFORMAT ">
      <w:r>
        <w:t>TLIX0021X Work with global supply chains</w:t>
      </w:r>
    </w:fldSimple>
    <w:r>
      <w:tab/>
      <w:t xml:space="preserve">Date this document was generated: </w:t>
    </w:r>
    <w:r>
      <w:fldChar w:fldCharType="begin"/>
    </w:r>
    <w:r>
      <w:instrText xml:space="preserve"> CREATEDATE  \@ "d MMMM yyyy"  \* MERGEFORMAT </w:instrText>
    </w:r>
    <w:r>
      <w:fldChar w:fldCharType="separate"/>
    </w:r>
    <w:r>
      <w:rPr>
        <w:noProof/>
      </w:rPr>
      <w:t>3 February 2023</w:t>
    </w:r>
    <w:r>
      <w:fldChar w:fldCharType="end"/>
    </w:r>
  </w:p>
  <w:p w:rsidR="005272E1" w:rsidRDefault="005272E1" w:rsidP="009A5872">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A5872"/>
    <w:rsid w:val="005272E1"/>
    <w:rsid w:val="009A58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87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A5872"/>
    <w:pPr>
      <w:spacing w:before="360" w:after="60"/>
      <w:outlineLvl w:val="0"/>
    </w:pPr>
    <w:rPr>
      <w:sz w:val="32"/>
    </w:rPr>
  </w:style>
  <w:style w:type="paragraph" w:styleId="Heading2">
    <w:name w:val="heading 2"/>
    <w:basedOn w:val="HeadingBase"/>
    <w:next w:val="BodyText"/>
    <w:link w:val="Heading2Char"/>
    <w:qFormat/>
    <w:rsid w:val="009A5872"/>
    <w:pPr>
      <w:keepLines/>
      <w:spacing w:before="240" w:after="120"/>
      <w:outlineLvl w:val="1"/>
    </w:pPr>
    <w:rPr>
      <w:sz w:val="28"/>
      <w:szCs w:val="40"/>
    </w:rPr>
  </w:style>
  <w:style w:type="paragraph" w:styleId="Heading3">
    <w:name w:val="heading 3"/>
    <w:basedOn w:val="HeadingBase"/>
    <w:next w:val="BodyText"/>
    <w:link w:val="Heading3Char"/>
    <w:qFormat/>
    <w:rsid w:val="009A5872"/>
    <w:pPr>
      <w:spacing w:before="180" w:after="120"/>
      <w:outlineLvl w:val="2"/>
    </w:pPr>
    <w:rPr>
      <w:spacing w:val="-10"/>
      <w:kern w:val="32"/>
    </w:rPr>
  </w:style>
  <w:style w:type="paragraph" w:styleId="Heading4">
    <w:name w:val="heading 4"/>
    <w:basedOn w:val="HeadingBase"/>
    <w:next w:val="BodyText"/>
    <w:link w:val="Heading4Char"/>
    <w:qFormat/>
    <w:rsid w:val="009A5872"/>
    <w:pPr>
      <w:spacing w:before="160" w:after="120"/>
      <w:outlineLvl w:val="3"/>
    </w:pPr>
    <w:rPr>
      <w:sz w:val="22"/>
    </w:rPr>
  </w:style>
  <w:style w:type="paragraph" w:styleId="Heading5">
    <w:name w:val="heading 5"/>
    <w:basedOn w:val="HeadingBase"/>
    <w:next w:val="Normal"/>
    <w:link w:val="Heading5Char"/>
    <w:qFormat/>
    <w:rsid w:val="009A5872"/>
    <w:pPr>
      <w:spacing w:before="80"/>
      <w:outlineLvl w:val="4"/>
    </w:pPr>
    <w:rPr>
      <w:color w:val="918585"/>
      <w:sz w:val="20"/>
    </w:rPr>
  </w:style>
  <w:style w:type="paragraph" w:styleId="Heading6">
    <w:name w:val="heading 6"/>
    <w:basedOn w:val="HeadingBase"/>
    <w:next w:val="Normal"/>
    <w:link w:val="Heading6Char"/>
    <w:qFormat/>
    <w:rsid w:val="009A5872"/>
    <w:pPr>
      <w:spacing w:before="60"/>
      <w:outlineLvl w:val="5"/>
    </w:pPr>
    <w:rPr>
      <w:color w:val="918585"/>
      <w:sz w:val="20"/>
    </w:rPr>
  </w:style>
  <w:style w:type="paragraph" w:styleId="Heading7">
    <w:name w:val="heading 7"/>
    <w:basedOn w:val="Normal"/>
    <w:next w:val="Normal"/>
    <w:link w:val="Heading7Char"/>
    <w:qFormat/>
    <w:rsid w:val="009A5872"/>
    <w:pPr>
      <w:ind w:left="720"/>
      <w:outlineLvl w:val="6"/>
    </w:pPr>
    <w:rPr>
      <w:i/>
    </w:rPr>
  </w:style>
  <w:style w:type="paragraph" w:styleId="Heading8">
    <w:name w:val="heading 8"/>
    <w:basedOn w:val="Normal"/>
    <w:next w:val="Normal"/>
    <w:link w:val="Heading8Char"/>
    <w:qFormat/>
    <w:rsid w:val="009A5872"/>
    <w:pPr>
      <w:ind w:left="720"/>
      <w:outlineLvl w:val="7"/>
    </w:pPr>
    <w:rPr>
      <w:i/>
    </w:rPr>
  </w:style>
  <w:style w:type="paragraph" w:styleId="Heading9">
    <w:name w:val="heading 9"/>
    <w:basedOn w:val="Normal"/>
    <w:next w:val="Normal"/>
    <w:link w:val="Heading9Char"/>
    <w:qFormat/>
    <w:rsid w:val="009A5872"/>
    <w:pPr>
      <w:ind w:left="720"/>
      <w:outlineLvl w:val="8"/>
    </w:pPr>
    <w:rPr>
      <w:i/>
    </w:rPr>
  </w:style>
  <w:style w:type="character" w:default="1" w:styleId="DefaultParagraphFont">
    <w:name w:val="Default Paragraph Font"/>
    <w:uiPriority w:val="1"/>
    <w:unhideWhenUsed/>
    <w:rsid w:val="009A587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A5872"/>
  </w:style>
  <w:style w:type="character" w:customStyle="1" w:styleId="Heading1Char">
    <w:name w:val="Heading 1 Char"/>
    <w:basedOn w:val="DefaultParagraphFont"/>
    <w:link w:val="Heading1"/>
    <w:rsid w:val="009A5872"/>
    <w:rPr>
      <w:rFonts w:ascii="Times New Roman" w:eastAsia="Times New Roman" w:hAnsi="Times New Roman" w:cs="Times New Roman"/>
      <w:b/>
      <w:sz w:val="32"/>
      <w:szCs w:val="20"/>
      <w:lang w:eastAsia="en-US"/>
    </w:rPr>
  </w:style>
  <w:style w:type="paragraph" w:styleId="BodyText">
    <w:name w:val="Body Text"/>
    <w:basedOn w:val="Normal"/>
    <w:link w:val="BodyTextChar"/>
    <w:rsid w:val="009A587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A5872"/>
    <w:rPr>
      <w:rFonts w:ascii="Times New Roman" w:eastAsia="Times New Roman" w:hAnsi="Times New Roman" w:cs="Times New Roman"/>
      <w:sz w:val="24"/>
      <w:lang w:eastAsia="en-US"/>
    </w:rPr>
  </w:style>
  <w:style w:type="character" w:customStyle="1" w:styleId="SpecialBold">
    <w:name w:val="Special Bold"/>
    <w:basedOn w:val="DefaultParagraphFont"/>
    <w:rsid w:val="009A5872"/>
    <w:rPr>
      <w:b/>
      <w:spacing w:val="0"/>
    </w:rPr>
  </w:style>
  <w:style w:type="paragraph" w:customStyle="1" w:styleId="SuperHeading">
    <w:name w:val="SuperHeading"/>
    <w:basedOn w:val="Normal"/>
    <w:rsid w:val="009A5872"/>
    <w:pPr>
      <w:spacing w:before="240" w:after="120"/>
      <w:outlineLvl w:val="0"/>
    </w:pPr>
    <w:rPr>
      <w:rFonts w:ascii="Times New Roman" w:hAnsi="Times New Roman"/>
      <w:b/>
      <w:sz w:val="32"/>
    </w:rPr>
  </w:style>
  <w:style w:type="paragraph" w:customStyle="1" w:styleId="AllowPageBreak">
    <w:name w:val="AllowPageBreak"/>
    <w:rsid w:val="009A5872"/>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NoPaddingFontSize1">
    <w:name w:val="No Padding Font Size 1"/>
    <w:uiPriority w:val="99"/>
    <w:pPr>
      <w:widowControl w:val="0"/>
      <w:autoSpaceDE w:val="0"/>
      <w:autoSpaceDN w:val="0"/>
      <w:adjustRightInd w:val="0"/>
      <w:spacing w:after="0" w:line="240" w:lineRule="auto"/>
    </w:pPr>
    <w:rPr>
      <w:rFonts w:ascii="Tahoma" w:hAnsi="Tahoma" w:cs="Tahoma"/>
      <w:color w:val="000000"/>
      <w:sz w:val="2"/>
      <w:szCs w:val="2"/>
      <w:vertAlign w:val="subscript"/>
    </w:rPr>
  </w:style>
  <w:style w:type="character" w:customStyle="1" w:styleId="Heading2Char">
    <w:name w:val="Heading 2 Char"/>
    <w:basedOn w:val="DefaultParagraphFont"/>
    <w:link w:val="Heading2"/>
    <w:rsid w:val="009A587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A587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A587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A587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A587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A587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A587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A5872"/>
    <w:rPr>
      <w:rFonts w:ascii="Courier New" w:eastAsia="Times New Roman" w:hAnsi="Courier New" w:cs="Times New Roman"/>
      <w:i/>
      <w:szCs w:val="20"/>
      <w:lang w:eastAsia="en-US"/>
    </w:rPr>
  </w:style>
  <w:style w:type="paragraph" w:customStyle="1" w:styleId="HeadingBase">
    <w:name w:val="Heading Base"/>
    <w:rsid w:val="009A587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A5872"/>
    <w:pPr>
      <w:tabs>
        <w:tab w:val="right" w:leader="dot" w:pos="9072"/>
      </w:tabs>
      <w:ind w:left="567"/>
    </w:pPr>
    <w:rPr>
      <w:szCs w:val="22"/>
    </w:rPr>
  </w:style>
  <w:style w:type="paragraph" w:customStyle="1" w:styleId="TOCBase">
    <w:name w:val="TOC Base"/>
    <w:rsid w:val="009A587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A5872"/>
    <w:pPr>
      <w:tabs>
        <w:tab w:val="right" w:leader="dot" w:pos="9072"/>
      </w:tabs>
      <w:spacing w:before="40" w:after="40"/>
      <w:ind w:left="284"/>
    </w:pPr>
    <w:rPr>
      <w:rFonts w:ascii="Times New Roman" w:hAnsi="Times New Roman"/>
    </w:rPr>
  </w:style>
  <w:style w:type="paragraph" w:styleId="TOC1">
    <w:name w:val="toc 1"/>
    <w:basedOn w:val="TOCBase"/>
    <w:next w:val="Normal"/>
    <w:rsid w:val="009A587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A587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A5872"/>
    <w:rPr>
      <w:rFonts w:ascii="Times New Roman" w:eastAsia="Times New Roman" w:hAnsi="Times New Roman" w:cs="Times New Roman"/>
      <w:sz w:val="16"/>
      <w:lang w:eastAsia="en-US"/>
    </w:rPr>
  </w:style>
  <w:style w:type="paragraph" w:styleId="Title">
    <w:name w:val="Title"/>
    <w:basedOn w:val="HeadingBase"/>
    <w:link w:val="TitleChar"/>
    <w:qFormat/>
    <w:rsid w:val="009A5872"/>
    <w:pPr>
      <w:spacing w:before="5040"/>
      <w:jc w:val="center"/>
    </w:pPr>
    <w:rPr>
      <w:sz w:val="48"/>
      <w:szCs w:val="72"/>
      <w:lang w:val="en-US"/>
    </w:rPr>
  </w:style>
  <w:style w:type="character" w:customStyle="1" w:styleId="TitleChar">
    <w:name w:val="Title Char"/>
    <w:basedOn w:val="DefaultParagraphFont"/>
    <w:link w:val="Title"/>
    <w:rsid w:val="009A587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A5872"/>
    <w:pPr>
      <w:tabs>
        <w:tab w:val="left" w:pos="3600"/>
        <w:tab w:val="left" w:pos="3958"/>
      </w:tabs>
    </w:pPr>
  </w:style>
  <w:style w:type="paragraph" w:styleId="List">
    <w:name w:val="List"/>
    <w:basedOn w:val="BodyText"/>
    <w:next w:val="BodyText"/>
    <w:rsid w:val="009A5872"/>
    <w:pPr>
      <w:tabs>
        <w:tab w:val="left" w:pos="340"/>
      </w:tabs>
      <w:spacing w:before="60" w:after="60"/>
      <w:ind w:left="340" w:hanging="340"/>
    </w:pPr>
  </w:style>
  <w:style w:type="paragraph" w:styleId="ListBullet">
    <w:name w:val="List Bullet"/>
    <w:basedOn w:val="List"/>
    <w:rsid w:val="009A5872"/>
    <w:pPr>
      <w:numPr>
        <w:numId w:val="10"/>
      </w:numPr>
      <w:tabs>
        <w:tab w:val="clear" w:pos="340"/>
      </w:tabs>
      <w:spacing w:before="40" w:after="40"/>
    </w:pPr>
  </w:style>
  <w:style w:type="paragraph" w:customStyle="1" w:styleId="Note">
    <w:name w:val="Note"/>
    <w:basedOn w:val="BodyText"/>
    <w:rsid w:val="009A587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A5872"/>
    <w:pPr>
      <w:framePr w:wrap="auto" w:hAnchor="text" w:y="6049"/>
    </w:pPr>
    <w:rPr>
      <w:color w:val="000000"/>
      <w:sz w:val="40"/>
    </w:rPr>
  </w:style>
  <w:style w:type="paragraph" w:customStyle="1" w:styleId="TOCTitle">
    <w:name w:val="TOCTitle"/>
    <w:basedOn w:val="Heading1"/>
    <w:rsid w:val="009A5872"/>
    <w:pPr>
      <w:spacing w:after="240"/>
      <w:jc w:val="center"/>
      <w:outlineLvl w:val="9"/>
    </w:pPr>
    <w:rPr>
      <w:caps/>
    </w:rPr>
  </w:style>
  <w:style w:type="paragraph" w:customStyle="1" w:styleId="Version">
    <w:name w:val="Version"/>
    <w:rsid w:val="009A5872"/>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9A5872"/>
    <w:pPr>
      <w:numPr>
        <w:numId w:val="11"/>
      </w:numPr>
      <w:tabs>
        <w:tab w:val="clear" w:pos="680"/>
      </w:tabs>
    </w:pPr>
  </w:style>
  <w:style w:type="paragraph" w:styleId="Index1">
    <w:name w:val="index 1"/>
    <w:basedOn w:val="Normal"/>
    <w:next w:val="Normal"/>
    <w:semiHidden/>
    <w:rsid w:val="009A5872"/>
    <w:pPr>
      <w:keepNext w:val="0"/>
      <w:tabs>
        <w:tab w:val="right" w:pos="4176"/>
      </w:tabs>
      <w:ind w:left="198" w:hanging="198"/>
    </w:pPr>
    <w:rPr>
      <w:rFonts w:ascii="Garamond" w:hAnsi="Garamond"/>
    </w:rPr>
  </w:style>
  <w:style w:type="paragraph" w:styleId="IndexHeading">
    <w:name w:val="index heading"/>
    <w:basedOn w:val="Normal"/>
    <w:next w:val="Index1"/>
    <w:semiHidden/>
    <w:rsid w:val="009A5872"/>
    <w:pPr>
      <w:spacing w:before="120" w:after="120"/>
    </w:pPr>
    <w:rPr>
      <w:rFonts w:ascii="Arial" w:hAnsi="Arial"/>
      <w:b/>
      <w:color w:val="918585"/>
      <w:sz w:val="24"/>
    </w:rPr>
  </w:style>
  <w:style w:type="paragraph" w:styleId="Header">
    <w:name w:val="header"/>
    <w:basedOn w:val="Normal"/>
    <w:link w:val="HeaderChar"/>
    <w:rsid w:val="009A587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A5872"/>
    <w:rPr>
      <w:rFonts w:ascii="Times New Roman" w:eastAsia="Times New Roman" w:hAnsi="Times New Roman" w:cs="Times New Roman"/>
      <w:sz w:val="16"/>
      <w:szCs w:val="20"/>
      <w:lang w:val="en-GB" w:eastAsia="en-US"/>
    </w:rPr>
  </w:style>
  <w:style w:type="paragraph" w:customStyle="1" w:styleId="Chapter">
    <w:name w:val="Chapter"/>
    <w:basedOn w:val="Normal"/>
    <w:rsid w:val="009A5872"/>
    <w:pPr>
      <w:spacing w:before="240"/>
    </w:pPr>
    <w:rPr>
      <w:rFonts w:ascii="Times New Roman" w:hAnsi="Times New Roman"/>
      <w:smallCaps/>
      <w:spacing w:val="80"/>
      <w:sz w:val="28"/>
    </w:rPr>
  </w:style>
  <w:style w:type="paragraph" w:customStyle="1" w:styleId="InChapter">
    <w:name w:val="InChapter"/>
    <w:basedOn w:val="Heading3"/>
    <w:rsid w:val="009A5872"/>
    <w:pPr>
      <w:spacing w:after="240"/>
      <w:outlineLvl w:val="9"/>
    </w:pPr>
    <w:rPr>
      <w:noProof/>
    </w:rPr>
  </w:style>
  <w:style w:type="paragraph" w:styleId="Index2">
    <w:name w:val="index 2"/>
    <w:basedOn w:val="Normal"/>
    <w:next w:val="Normal"/>
    <w:semiHidden/>
    <w:rsid w:val="009A5872"/>
    <w:pPr>
      <w:tabs>
        <w:tab w:val="right" w:pos="4176"/>
      </w:tabs>
      <w:ind w:left="568" w:hanging="284"/>
    </w:pPr>
    <w:rPr>
      <w:rFonts w:ascii="Garamond" w:hAnsi="Garamond"/>
    </w:rPr>
  </w:style>
  <w:style w:type="paragraph" w:customStyle="1" w:styleId="Byline">
    <w:name w:val="Byline"/>
    <w:rsid w:val="009A587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A5872"/>
    <w:pPr>
      <w:tabs>
        <w:tab w:val="clear" w:pos="3600"/>
        <w:tab w:val="clear" w:pos="3958"/>
      </w:tabs>
      <w:jc w:val="right"/>
    </w:pPr>
  </w:style>
  <w:style w:type="character" w:styleId="Emphasis">
    <w:name w:val="Emphasis"/>
    <w:basedOn w:val="DefaultParagraphFont"/>
    <w:qFormat/>
    <w:rsid w:val="009A5872"/>
    <w:rPr>
      <w:i/>
    </w:rPr>
  </w:style>
  <w:style w:type="paragraph" w:styleId="Caption">
    <w:name w:val="caption"/>
    <w:basedOn w:val="BodyText"/>
    <w:next w:val="Normal"/>
    <w:qFormat/>
    <w:rsid w:val="009A5872"/>
    <w:pPr>
      <w:framePr w:w="2268" w:hSpace="181" w:vSpace="181" w:wrap="around" w:vAnchor="text" w:hAnchor="page" w:x="1135" w:y="285" w:anchorLock="1"/>
    </w:pPr>
    <w:rPr>
      <w:i/>
    </w:rPr>
  </w:style>
  <w:style w:type="paragraph" w:customStyle="1" w:styleId="MiniTOCTitle">
    <w:name w:val="MiniTOCTitle"/>
    <w:basedOn w:val="Heading4"/>
    <w:rsid w:val="009A5872"/>
    <w:pPr>
      <w:spacing w:before="240"/>
      <w:outlineLvl w:val="9"/>
    </w:pPr>
    <w:rPr>
      <w:noProof/>
      <w:sz w:val="24"/>
    </w:rPr>
  </w:style>
  <w:style w:type="paragraph" w:customStyle="1" w:styleId="MiniTOCItem">
    <w:name w:val="MiniTOCItem"/>
    <w:basedOn w:val="ListBullet"/>
    <w:rsid w:val="009A5872"/>
    <w:pPr>
      <w:numPr>
        <w:numId w:val="0"/>
      </w:numPr>
      <w:tabs>
        <w:tab w:val="right" w:leader="dot" w:pos="6521"/>
      </w:tabs>
      <w:spacing w:before="0" w:after="0"/>
    </w:pPr>
  </w:style>
  <w:style w:type="paragraph" w:customStyle="1" w:styleId="TOFTitle">
    <w:name w:val="TOFTitle"/>
    <w:basedOn w:val="TOCTitle"/>
    <w:rsid w:val="009A5872"/>
  </w:style>
  <w:style w:type="paragraph" w:styleId="TableofFigures">
    <w:name w:val="table of figures"/>
    <w:basedOn w:val="Normal"/>
    <w:next w:val="Normal"/>
    <w:semiHidden/>
    <w:rsid w:val="009A5872"/>
    <w:pPr>
      <w:tabs>
        <w:tab w:val="right" w:leader="dot" w:pos="9072"/>
      </w:tabs>
      <w:ind w:left="970" w:hanging="403"/>
    </w:pPr>
    <w:rPr>
      <w:rFonts w:ascii="Times New Roman" w:hAnsi="Times New Roman"/>
      <w:b/>
    </w:rPr>
  </w:style>
  <w:style w:type="paragraph" w:styleId="ListNumber">
    <w:name w:val="List Number"/>
    <w:basedOn w:val="List"/>
    <w:rsid w:val="009A5872"/>
    <w:pPr>
      <w:numPr>
        <w:numId w:val="13"/>
      </w:numPr>
      <w:tabs>
        <w:tab w:val="clear" w:pos="340"/>
      </w:tabs>
    </w:pPr>
  </w:style>
  <w:style w:type="character" w:customStyle="1" w:styleId="WingdingSymbols">
    <w:name w:val="Wingding Symbols"/>
    <w:rsid w:val="009A5872"/>
    <w:rPr>
      <w:rFonts w:ascii="Wingdings" w:hAnsi="Wingdings"/>
    </w:rPr>
  </w:style>
  <w:style w:type="paragraph" w:customStyle="1" w:styleId="TableHeading">
    <w:name w:val="Table Heading"/>
    <w:basedOn w:val="HeadingBase"/>
    <w:rsid w:val="009A5872"/>
    <w:pPr>
      <w:keepLines/>
      <w:pBdr>
        <w:bottom w:val="single" w:sz="6" w:space="1" w:color="918585"/>
      </w:pBdr>
      <w:spacing w:before="240"/>
    </w:pPr>
  </w:style>
  <w:style w:type="character" w:customStyle="1" w:styleId="HotSpot">
    <w:name w:val="HotSpot"/>
    <w:rsid w:val="009A5872"/>
    <w:rPr>
      <w:color w:val="0033CC"/>
      <w:u w:val="none"/>
    </w:rPr>
  </w:style>
  <w:style w:type="paragraph" w:customStyle="1" w:styleId="BodyTextRight">
    <w:name w:val="Body Text Right"/>
    <w:basedOn w:val="BodyText"/>
    <w:rsid w:val="009A5872"/>
    <w:pPr>
      <w:spacing w:before="0" w:after="0"/>
      <w:jc w:val="right"/>
    </w:pPr>
  </w:style>
  <w:style w:type="paragraph" w:styleId="Index3">
    <w:name w:val="index 3"/>
    <w:basedOn w:val="ListNumber2"/>
    <w:next w:val="Normal"/>
    <w:semiHidden/>
    <w:rsid w:val="009A5872"/>
    <w:pPr>
      <w:numPr>
        <w:numId w:val="0"/>
      </w:numPr>
      <w:tabs>
        <w:tab w:val="right" w:leader="dot" w:pos="4176"/>
      </w:tabs>
    </w:pPr>
  </w:style>
  <w:style w:type="paragraph" w:styleId="ListNumber2">
    <w:name w:val="List Number 2"/>
    <w:basedOn w:val="List2"/>
    <w:rsid w:val="009A5872"/>
    <w:pPr>
      <w:numPr>
        <w:numId w:val="8"/>
      </w:numPr>
      <w:tabs>
        <w:tab w:val="clear" w:pos="1060"/>
      </w:tabs>
    </w:pPr>
  </w:style>
  <w:style w:type="paragraph" w:customStyle="1" w:styleId="MarginNote">
    <w:name w:val="Margin Note"/>
    <w:basedOn w:val="BodyText"/>
    <w:rsid w:val="009A587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A587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A587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A5872"/>
    <w:rPr>
      <w:sz w:val="32"/>
    </w:rPr>
  </w:style>
  <w:style w:type="paragraph" w:customStyle="1" w:styleId="HeadingProcedure">
    <w:name w:val="Heading Procedure"/>
    <w:basedOn w:val="HeadingBase"/>
    <w:next w:val="Normal"/>
    <w:rsid w:val="009A5872"/>
    <w:pPr>
      <w:tabs>
        <w:tab w:val="left" w:pos="0"/>
      </w:tabs>
      <w:spacing w:before="120" w:after="60"/>
    </w:pPr>
    <w:rPr>
      <w:i/>
      <w:color w:val="918585"/>
      <w:sz w:val="22"/>
    </w:rPr>
  </w:style>
  <w:style w:type="paragraph" w:customStyle="1" w:styleId="TableBodyText">
    <w:name w:val="Table Body Text"/>
    <w:basedOn w:val="BodyText"/>
    <w:rsid w:val="009A5872"/>
    <w:pPr>
      <w:spacing w:before="60" w:after="60"/>
    </w:pPr>
  </w:style>
  <w:style w:type="paragraph" w:styleId="ListContinue">
    <w:name w:val="List Continue"/>
    <w:basedOn w:val="List"/>
    <w:rsid w:val="009A5872"/>
    <w:pPr>
      <w:ind w:firstLine="0"/>
    </w:pPr>
  </w:style>
  <w:style w:type="paragraph" w:customStyle="1" w:styleId="ListNote">
    <w:name w:val="List Note"/>
    <w:basedOn w:val="List"/>
    <w:rsid w:val="009A5872"/>
    <w:pPr>
      <w:pBdr>
        <w:top w:val="single" w:sz="6" w:space="2" w:color="918585"/>
        <w:bottom w:val="single" w:sz="6" w:space="2" w:color="918585"/>
      </w:pBdr>
      <w:tabs>
        <w:tab w:val="left" w:pos="1021"/>
      </w:tabs>
      <w:ind w:firstLine="0"/>
    </w:pPr>
  </w:style>
  <w:style w:type="paragraph" w:customStyle="1" w:styleId="Warning">
    <w:name w:val="Warning"/>
    <w:basedOn w:val="BodyText"/>
    <w:rsid w:val="009A5872"/>
    <w:pPr>
      <w:shd w:val="clear" w:color="auto" w:fill="D9D9D9"/>
      <w:tabs>
        <w:tab w:val="left" w:pos="992"/>
      </w:tabs>
      <w:ind w:left="119" w:right="119"/>
    </w:pPr>
    <w:rPr>
      <w:sz w:val="20"/>
    </w:rPr>
  </w:style>
  <w:style w:type="paragraph" w:customStyle="1" w:styleId="MarginIcons">
    <w:name w:val="Margin Icons"/>
    <w:basedOn w:val="BodyText"/>
    <w:rsid w:val="009A587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A5872"/>
    <w:rPr>
      <w:rFonts w:ascii="Courier New" w:hAnsi="Courier New"/>
    </w:rPr>
  </w:style>
  <w:style w:type="paragraph" w:customStyle="1" w:styleId="NoteBullet">
    <w:name w:val="Note Bullet"/>
    <w:basedOn w:val="Note"/>
    <w:rsid w:val="009A5872"/>
    <w:pPr>
      <w:tabs>
        <w:tab w:val="clear" w:pos="680"/>
      </w:tabs>
      <w:spacing w:before="60" w:after="60"/>
    </w:pPr>
  </w:style>
  <w:style w:type="paragraph" w:customStyle="1" w:styleId="SubHeading2">
    <w:name w:val="SubHeading2"/>
    <w:basedOn w:val="HeadingBase"/>
    <w:rsid w:val="009A5872"/>
    <w:pPr>
      <w:spacing w:before="240" w:after="60"/>
    </w:pPr>
    <w:rPr>
      <w:sz w:val="20"/>
    </w:rPr>
  </w:style>
  <w:style w:type="paragraph" w:customStyle="1" w:styleId="SubHeading1">
    <w:name w:val="SubHeading1"/>
    <w:basedOn w:val="HeadingBase"/>
    <w:rsid w:val="009A5872"/>
    <w:pPr>
      <w:spacing w:before="240" w:after="60"/>
    </w:pPr>
    <w:rPr>
      <w:color w:val="918585"/>
      <w:sz w:val="22"/>
    </w:rPr>
  </w:style>
  <w:style w:type="paragraph" w:customStyle="1" w:styleId="SideHeading">
    <w:name w:val="Side Heading"/>
    <w:basedOn w:val="HeadingBase"/>
    <w:rsid w:val="009A5872"/>
    <w:pPr>
      <w:framePr w:w="2268" w:h="567" w:hSpace="181" w:vSpace="181" w:wrap="around" w:vAnchor="text" w:hAnchor="page" w:x="1419" w:y="370" w:anchorLock="1"/>
    </w:pPr>
    <w:rPr>
      <w:sz w:val="22"/>
    </w:rPr>
  </w:style>
  <w:style w:type="paragraph" w:customStyle="1" w:styleId="TableListBullet">
    <w:name w:val="Table List Bullet"/>
    <w:basedOn w:val="ListBullet"/>
    <w:rsid w:val="009A5872"/>
    <w:pPr>
      <w:numPr>
        <w:numId w:val="9"/>
      </w:numPr>
    </w:pPr>
  </w:style>
  <w:style w:type="paragraph" w:styleId="PlainText">
    <w:name w:val="Plain Text"/>
    <w:basedOn w:val="Normal"/>
    <w:link w:val="PlainTextChar"/>
    <w:rsid w:val="009A5872"/>
    <w:rPr>
      <w:sz w:val="20"/>
    </w:rPr>
  </w:style>
  <w:style w:type="character" w:customStyle="1" w:styleId="PlainTextChar">
    <w:name w:val="Plain Text Char"/>
    <w:basedOn w:val="DefaultParagraphFont"/>
    <w:link w:val="PlainText"/>
    <w:rsid w:val="009A5872"/>
    <w:rPr>
      <w:rFonts w:ascii="Courier New" w:eastAsia="Times New Roman" w:hAnsi="Courier New" w:cs="Times New Roman"/>
      <w:sz w:val="20"/>
      <w:szCs w:val="20"/>
      <w:lang w:eastAsia="en-US"/>
    </w:rPr>
  </w:style>
  <w:style w:type="character" w:customStyle="1" w:styleId="MenuOption">
    <w:name w:val="Menu Option"/>
    <w:basedOn w:val="DefaultParagraphFont"/>
    <w:rsid w:val="009A5872"/>
    <w:rPr>
      <w:b/>
      <w:smallCaps/>
    </w:rPr>
  </w:style>
  <w:style w:type="paragraph" w:customStyle="1" w:styleId="TableListNumber">
    <w:name w:val="Table List Number"/>
    <w:basedOn w:val="ListNumber"/>
    <w:rsid w:val="009A5872"/>
    <w:pPr>
      <w:numPr>
        <w:numId w:val="0"/>
      </w:numPr>
    </w:pPr>
  </w:style>
  <w:style w:type="paragraph" w:styleId="TOC4">
    <w:name w:val="toc 4"/>
    <w:basedOn w:val="TOCBase"/>
    <w:next w:val="Normal"/>
    <w:semiHidden/>
    <w:rsid w:val="009A5872"/>
    <w:pPr>
      <w:tabs>
        <w:tab w:val="right" w:leader="dot" w:pos="9071"/>
      </w:tabs>
      <w:ind w:left="1701"/>
    </w:pPr>
  </w:style>
  <w:style w:type="paragraph" w:customStyle="1" w:styleId="ListAlpha">
    <w:name w:val="List Alpha"/>
    <w:basedOn w:val="List"/>
    <w:rsid w:val="009A5872"/>
    <w:pPr>
      <w:numPr>
        <w:numId w:val="7"/>
      </w:numPr>
    </w:pPr>
  </w:style>
  <w:style w:type="paragraph" w:customStyle="1" w:styleId="ListAlpha2">
    <w:name w:val="List Alpha 2"/>
    <w:basedOn w:val="List2"/>
    <w:rsid w:val="009A5872"/>
    <w:pPr>
      <w:numPr>
        <w:numId w:val="6"/>
      </w:numPr>
    </w:pPr>
  </w:style>
  <w:style w:type="paragraph" w:styleId="List2">
    <w:name w:val="List 2"/>
    <w:basedOn w:val="BodyText"/>
    <w:rsid w:val="009A5872"/>
    <w:pPr>
      <w:tabs>
        <w:tab w:val="left" w:pos="680"/>
      </w:tabs>
      <w:spacing w:before="60" w:after="60"/>
      <w:ind w:left="680" w:hanging="340"/>
    </w:pPr>
  </w:style>
  <w:style w:type="paragraph" w:styleId="List3">
    <w:name w:val="List 3"/>
    <w:basedOn w:val="BodyText"/>
    <w:rsid w:val="009A5872"/>
    <w:pPr>
      <w:tabs>
        <w:tab w:val="left" w:pos="1021"/>
      </w:tabs>
      <w:spacing w:before="60" w:after="60"/>
      <w:ind w:left="1020" w:hanging="340"/>
    </w:pPr>
  </w:style>
  <w:style w:type="paragraph" w:styleId="List4">
    <w:name w:val="List 4"/>
    <w:basedOn w:val="BodyText"/>
    <w:rsid w:val="009A5872"/>
    <w:pPr>
      <w:tabs>
        <w:tab w:val="left" w:pos="1361"/>
      </w:tabs>
      <w:spacing w:before="60" w:after="60"/>
      <w:ind w:left="1361" w:hanging="340"/>
    </w:pPr>
  </w:style>
  <w:style w:type="paragraph" w:styleId="List5">
    <w:name w:val="List 5"/>
    <w:basedOn w:val="BodyText"/>
    <w:rsid w:val="009A5872"/>
    <w:pPr>
      <w:tabs>
        <w:tab w:val="left" w:pos="1701"/>
      </w:tabs>
      <w:spacing w:before="60" w:after="60"/>
      <w:ind w:left="1701" w:hanging="340"/>
    </w:pPr>
  </w:style>
  <w:style w:type="paragraph" w:styleId="ListBullet3">
    <w:name w:val="List Bullet 3"/>
    <w:basedOn w:val="List3"/>
    <w:rsid w:val="009A5872"/>
    <w:pPr>
      <w:numPr>
        <w:numId w:val="12"/>
      </w:numPr>
      <w:tabs>
        <w:tab w:val="clear" w:pos="1021"/>
      </w:tabs>
      <w:ind w:left="1037" w:hanging="357"/>
    </w:pPr>
  </w:style>
  <w:style w:type="paragraph" w:styleId="ListBullet4">
    <w:name w:val="List Bullet 4"/>
    <w:basedOn w:val="List4"/>
    <w:rsid w:val="009A5872"/>
    <w:pPr>
      <w:numPr>
        <w:numId w:val="1"/>
      </w:numPr>
      <w:tabs>
        <w:tab w:val="clear" w:pos="1361"/>
      </w:tabs>
    </w:pPr>
  </w:style>
  <w:style w:type="paragraph" w:styleId="ListBullet5">
    <w:name w:val="List Bullet 5"/>
    <w:basedOn w:val="List5"/>
    <w:rsid w:val="009A5872"/>
    <w:pPr>
      <w:numPr>
        <w:numId w:val="2"/>
      </w:numPr>
    </w:pPr>
  </w:style>
  <w:style w:type="paragraph" w:styleId="ListContinue2">
    <w:name w:val="List Continue 2"/>
    <w:basedOn w:val="List2"/>
    <w:rsid w:val="009A5872"/>
    <w:pPr>
      <w:ind w:firstLine="0"/>
    </w:pPr>
  </w:style>
  <w:style w:type="paragraph" w:styleId="ListContinue3">
    <w:name w:val="List Continue 3"/>
    <w:basedOn w:val="List3"/>
    <w:rsid w:val="009A5872"/>
    <w:pPr>
      <w:ind w:left="1021" w:firstLine="0"/>
    </w:pPr>
  </w:style>
  <w:style w:type="paragraph" w:styleId="ListContinue4">
    <w:name w:val="List Continue 4"/>
    <w:basedOn w:val="List4"/>
    <w:rsid w:val="009A5872"/>
    <w:pPr>
      <w:ind w:firstLine="0"/>
    </w:pPr>
  </w:style>
  <w:style w:type="paragraph" w:styleId="ListContinue5">
    <w:name w:val="List Continue 5"/>
    <w:basedOn w:val="List5"/>
    <w:rsid w:val="009A5872"/>
    <w:pPr>
      <w:ind w:firstLine="0"/>
    </w:pPr>
  </w:style>
  <w:style w:type="paragraph" w:styleId="ListNumber3">
    <w:name w:val="List Number 3"/>
    <w:basedOn w:val="List3"/>
    <w:rsid w:val="009A5872"/>
    <w:pPr>
      <w:numPr>
        <w:numId w:val="3"/>
      </w:numPr>
    </w:pPr>
  </w:style>
  <w:style w:type="paragraph" w:styleId="ListNumber4">
    <w:name w:val="List Number 4"/>
    <w:basedOn w:val="List4"/>
    <w:rsid w:val="009A5872"/>
    <w:pPr>
      <w:numPr>
        <w:numId w:val="4"/>
      </w:numPr>
    </w:pPr>
  </w:style>
  <w:style w:type="paragraph" w:styleId="ListNumber5">
    <w:name w:val="List Number 5"/>
    <w:basedOn w:val="List5"/>
    <w:rsid w:val="009A5872"/>
    <w:pPr>
      <w:numPr>
        <w:numId w:val="5"/>
      </w:numPr>
    </w:pPr>
  </w:style>
  <w:style w:type="paragraph" w:styleId="BlockText">
    <w:name w:val="Block Text"/>
    <w:basedOn w:val="Normal"/>
    <w:rsid w:val="009A5872"/>
    <w:pPr>
      <w:spacing w:after="120"/>
      <w:ind w:left="1440" w:right="1440"/>
    </w:pPr>
  </w:style>
  <w:style w:type="character" w:customStyle="1" w:styleId="Subscript">
    <w:name w:val="Subscript"/>
    <w:basedOn w:val="DefaultParagraphFont"/>
    <w:rsid w:val="009A5872"/>
    <w:rPr>
      <w:sz w:val="16"/>
      <w:vertAlign w:val="subscript"/>
    </w:rPr>
  </w:style>
  <w:style w:type="character" w:customStyle="1" w:styleId="Superscript">
    <w:name w:val="Superscript"/>
    <w:basedOn w:val="DefaultParagraphFont"/>
    <w:rsid w:val="009A5872"/>
    <w:rPr>
      <w:sz w:val="16"/>
      <w:vertAlign w:val="superscript"/>
    </w:rPr>
  </w:style>
  <w:style w:type="character" w:customStyle="1" w:styleId="Symbols">
    <w:name w:val="Symbols"/>
    <w:basedOn w:val="DefaultParagraphFont"/>
    <w:rsid w:val="009A5872"/>
    <w:rPr>
      <w:rFonts w:ascii="Symbol" w:hAnsi="Symbol"/>
    </w:rPr>
  </w:style>
  <w:style w:type="character" w:customStyle="1" w:styleId="MenuOptions">
    <w:name w:val="Menu Options"/>
    <w:basedOn w:val="DefaultParagraphFont"/>
    <w:rsid w:val="009A5872"/>
    <w:rPr>
      <w:rFonts w:ascii="Arial Narrow" w:hAnsi="Arial Narrow"/>
      <w:smallCaps/>
    </w:rPr>
  </w:style>
  <w:style w:type="character" w:customStyle="1" w:styleId="Buttons">
    <w:name w:val="Buttons"/>
    <w:basedOn w:val="DefaultParagraphFont"/>
    <w:rsid w:val="009A5872"/>
    <w:rPr>
      <w:b/>
    </w:rPr>
  </w:style>
  <w:style w:type="character" w:customStyle="1" w:styleId="Underlined">
    <w:name w:val="Underlined"/>
    <w:basedOn w:val="DefaultParagraphFont"/>
    <w:rsid w:val="009A5872"/>
    <w:rPr>
      <w:u w:val="single"/>
    </w:rPr>
  </w:style>
  <w:style w:type="paragraph" w:customStyle="1" w:styleId="TableBodyTextRight">
    <w:name w:val="Table Body Text Right"/>
    <w:basedOn w:val="TableBodyText"/>
    <w:rsid w:val="009A5872"/>
    <w:pPr>
      <w:widowControl w:val="0"/>
      <w:autoSpaceDE w:val="0"/>
      <w:autoSpaceDN w:val="0"/>
      <w:adjustRightInd w:val="0"/>
      <w:jc w:val="right"/>
    </w:pPr>
    <w:rPr>
      <w:rFonts w:cs="Arial"/>
      <w:szCs w:val="18"/>
    </w:rPr>
  </w:style>
  <w:style w:type="paragraph" w:customStyle="1" w:styleId="CopyrightText">
    <w:name w:val="Copyright Text"/>
    <w:basedOn w:val="BodyText"/>
    <w:rsid w:val="009A5872"/>
    <w:rPr>
      <w:sz w:val="18"/>
    </w:rPr>
  </w:style>
  <w:style w:type="paragraph" w:customStyle="1" w:styleId="BodySmallRight">
    <w:name w:val="Body Small Right"/>
    <w:basedOn w:val="BodyTextRight"/>
    <w:rsid w:val="009A5872"/>
    <w:rPr>
      <w:sz w:val="18"/>
      <w:szCs w:val="18"/>
    </w:rPr>
  </w:style>
  <w:style w:type="paragraph" w:customStyle="1" w:styleId="MarginEdition">
    <w:name w:val="Margin Edition"/>
    <w:basedOn w:val="MarginNote"/>
    <w:rsid w:val="009A5872"/>
    <w:pPr>
      <w:spacing w:before="0" w:after="0"/>
    </w:pPr>
    <w:rPr>
      <w:rFonts w:ascii="Times New Roman" w:hAnsi="Times New Roman"/>
      <w:color w:val="999999"/>
    </w:rPr>
  </w:style>
  <w:style w:type="paragraph" w:customStyle="1" w:styleId="Spacer">
    <w:name w:val="Spacer"/>
    <w:basedOn w:val="Normal"/>
    <w:rsid w:val="009A5872"/>
    <w:rPr>
      <w:sz w:val="2"/>
      <w:szCs w:val="2"/>
    </w:rPr>
  </w:style>
  <w:style w:type="character" w:customStyle="1" w:styleId="Small">
    <w:name w:val="Small"/>
    <w:basedOn w:val="DefaultParagraphFont"/>
    <w:rsid w:val="009A5872"/>
    <w:rPr>
      <w:sz w:val="16"/>
    </w:rPr>
  </w:style>
  <w:style w:type="paragraph" w:customStyle="1" w:styleId="WideTable">
    <w:name w:val="Wide Table"/>
    <w:basedOn w:val="Normal"/>
    <w:rsid w:val="009A5872"/>
    <w:pPr>
      <w:ind w:left="-1418"/>
    </w:pPr>
    <w:rPr>
      <w:sz w:val="2"/>
      <w:szCs w:val="2"/>
    </w:rPr>
  </w:style>
  <w:style w:type="character" w:styleId="PageNumber">
    <w:name w:val="page number"/>
    <w:basedOn w:val="DefaultParagraphFont"/>
    <w:rsid w:val="009A5872"/>
  </w:style>
  <w:style w:type="paragraph" w:styleId="Quote">
    <w:name w:val="Quote"/>
    <w:basedOn w:val="Heading1"/>
    <w:link w:val="QuoteChar"/>
    <w:qFormat/>
    <w:rsid w:val="009A5872"/>
    <w:rPr>
      <w:b w:val="0"/>
      <w:sz w:val="72"/>
      <w:szCs w:val="72"/>
      <w:lang w:val="en-NZ"/>
    </w:rPr>
  </w:style>
  <w:style w:type="character" w:customStyle="1" w:styleId="QuoteChar">
    <w:name w:val="Quote Char"/>
    <w:basedOn w:val="DefaultParagraphFont"/>
    <w:link w:val="Quote"/>
    <w:rsid w:val="009A587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A5872"/>
    <w:pPr>
      <w:pageBreakBefore/>
    </w:pPr>
  </w:style>
  <w:style w:type="paragraph" w:customStyle="1" w:styleId="Border">
    <w:name w:val="Border"/>
    <w:basedOn w:val="Normal"/>
    <w:qFormat/>
    <w:rsid w:val="009A587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A5872"/>
    <w:rPr>
      <w:b/>
      <w:bCs/>
      <w:i/>
      <w:iCs/>
      <w:color w:val="auto"/>
    </w:rPr>
  </w:style>
  <w:style w:type="paragraph" w:styleId="IntenseQuote">
    <w:name w:val="Intense Quote"/>
    <w:basedOn w:val="Normal"/>
    <w:next w:val="Normal"/>
    <w:link w:val="IntenseQuoteChar"/>
    <w:uiPriority w:val="30"/>
    <w:qFormat/>
    <w:rsid w:val="009A587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A587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A5872"/>
    <w:rPr>
      <w:smallCaps/>
      <w:color w:val="auto"/>
      <w:u w:val="single"/>
    </w:rPr>
  </w:style>
  <w:style w:type="character" w:styleId="IntenseReference">
    <w:name w:val="Intense Reference"/>
    <w:basedOn w:val="DefaultParagraphFont"/>
    <w:uiPriority w:val="32"/>
    <w:qFormat/>
    <w:rsid w:val="009A5872"/>
    <w:rPr>
      <w:b/>
      <w:bCs/>
      <w:smallCaps/>
      <w:color w:val="auto"/>
      <w:spacing w:val="5"/>
      <w:u w:val="single"/>
    </w:rPr>
  </w:style>
  <w:style w:type="paragraph" w:customStyle="1" w:styleId="2ColumnHeading">
    <w:name w:val="2Column Heading"/>
    <w:basedOn w:val="BodyText"/>
    <w:qFormat/>
    <w:rsid w:val="009A5872"/>
    <w:pPr>
      <w:spacing w:after="60"/>
      <w:ind w:left="-2268"/>
    </w:pPr>
    <w:rPr>
      <w:b/>
    </w:rPr>
  </w:style>
  <w:style w:type="paragraph" w:customStyle="1" w:styleId="Heading1TOC">
    <w:name w:val="Heading1 TOC"/>
    <w:basedOn w:val="Normal"/>
    <w:qFormat/>
    <w:rsid w:val="009A5872"/>
    <w:pPr>
      <w:spacing w:before="240" w:after="120"/>
    </w:pPr>
    <w:rPr>
      <w:rFonts w:ascii="Times New Roman" w:hAnsi="Times New Roman"/>
      <w:b/>
      <w:sz w:val="32"/>
    </w:rPr>
  </w:style>
  <w:style w:type="paragraph" w:customStyle="1" w:styleId="Heading2TOC">
    <w:name w:val="Heading2 TOC"/>
    <w:basedOn w:val="Normal"/>
    <w:qFormat/>
    <w:rsid w:val="009A5872"/>
    <w:pPr>
      <w:spacing w:before="240" w:after="60"/>
    </w:pPr>
    <w:rPr>
      <w:rFonts w:ascii="Times New Roman" w:hAnsi="Times New Roman"/>
      <w:b/>
      <w:sz w:val="28"/>
    </w:rPr>
  </w:style>
  <w:style w:type="character" w:customStyle="1" w:styleId="Underline">
    <w:name w:val="Underline"/>
    <w:basedOn w:val="DefaultParagraphFont"/>
    <w:qFormat/>
    <w:rsid w:val="009A5872"/>
    <w:rPr>
      <w:u w:val="single"/>
    </w:rPr>
  </w:style>
  <w:style w:type="character" w:customStyle="1" w:styleId="BoldandItalics">
    <w:name w:val="Bold and Italics"/>
    <w:qFormat/>
    <w:rsid w:val="009A5872"/>
    <w:rPr>
      <w:b/>
      <w:i/>
      <w:u w:val="none"/>
    </w:rPr>
  </w:style>
  <w:style w:type="paragraph" w:styleId="BalloonText">
    <w:name w:val="Balloon Text"/>
    <w:basedOn w:val="Normal"/>
    <w:link w:val="BalloonTextChar"/>
    <w:rsid w:val="009A5872"/>
    <w:rPr>
      <w:rFonts w:ascii="Tahoma" w:hAnsi="Tahoma" w:cs="Tahoma"/>
      <w:sz w:val="16"/>
      <w:szCs w:val="16"/>
    </w:rPr>
  </w:style>
  <w:style w:type="character" w:customStyle="1" w:styleId="BalloonTextChar">
    <w:name w:val="Balloon Text Char"/>
    <w:basedOn w:val="DefaultParagraphFont"/>
    <w:link w:val="BalloonText"/>
    <w:rsid w:val="009A587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A587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A587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A5872"/>
    <w:rPr>
      <w:b/>
      <w:color w:val="660033"/>
      <w:spacing w:val="0"/>
    </w:rPr>
  </w:style>
  <w:style w:type="paragraph" w:customStyle="1" w:styleId="Nameditemlist">
    <w:name w:val="Named item list"/>
    <w:basedOn w:val="BodyText"/>
    <w:qFormat/>
    <w:rsid w:val="009A5872"/>
    <w:pPr>
      <w:tabs>
        <w:tab w:val="left" w:pos="2835"/>
      </w:tabs>
      <w:ind w:left="2835" w:hanging="2835"/>
    </w:pPr>
  </w:style>
  <w:style w:type="paragraph" w:customStyle="1" w:styleId="BodyTextnopadding">
    <w:name w:val="Body Text no padding"/>
    <w:basedOn w:val="BodyText"/>
    <w:qFormat/>
    <w:rsid w:val="009A5872"/>
    <w:pPr>
      <w:spacing w:before="0" w:after="0"/>
    </w:pPr>
  </w:style>
  <w:style w:type="paragraph" w:customStyle="1" w:styleId="BodyTextBold">
    <w:name w:val="Body Text Bold"/>
    <w:basedOn w:val="BodyText"/>
    <w:qFormat/>
    <w:rsid w:val="009A5872"/>
    <w:rPr>
      <w:b/>
    </w:rPr>
  </w:style>
  <w:style w:type="character" w:styleId="Hyperlink">
    <w:name w:val="Hyperlink"/>
    <w:basedOn w:val="DefaultParagraphFont"/>
    <w:uiPriority w:val="99"/>
    <w:unhideWhenUsed/>
    <w:rsid w:val="005272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df441c6e-213d-43e3-874c-0b3f7036d85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755</Words>
  <Characters>4678</Characters>
  <Application>Microsoft Office Word</Application>
  <DocSecurity>0</DocSecurity>
  <Lines>233</Lines>
  <Paragraphs>113</Paragraphs>
  <ScaleCrop>false</ScaleCrop>
  <Company>Author-it Software Corporation Ltd.</Company>
  <LinksUpToDate>false</LinksUpToDate>
  <CharactersWithSpaces>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TLIX0021X Work with global supply chains</dc:title>
  <dc:subject>Approved</dc:subject>
  <dc:creator>Australian Industry Standards</dc:creator>
  <cp:keywords>Release: 1</cp:keywords>
  <dc:description>Review Date: 12 April 2008</dc:description>
  <cp:lastModifiedBy>HSD_TPCMSd.prod</cp:lastModifiedBy>
  <cp:revision>3</cp:revision>
  <dcterms:created xsi:type="dcterms:W3CDTF">2023-02-03T06:59:00Z</dcterms:created>
  <dcterms:modified xsi:type="dcterms:W3CDTF">2023-02-03T06:59:00Z</dcterms:modified>
</cp:coreProperties>
</file>