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F5F" w:rsidRDefault="00D23F5F" w:rsidP="00D23F5F">
      <w:pPr>
        <w:pStyle w:val="Title"/>
      </w:pPr>
      <w:fldSimple w:instr=" TITLE   \* MERGEFORMAT ">
        <w:r>
          <w:t>TLIX0018X Monitor compliance in digital supply chains</w:t>
        </w:r>
      </w:fldSimple>
    </w:p>
    <w:p w:rsidR="00D23F5F" w:rsidRDefault="00D23F5F" w:rsidP="00D23F5F">
      <w:pPr>
        <w:pStyle w:val="Version"/>
        <w:sectPr w:rsidR="00D23F5F" w:rsidSect="001004D6">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1004D6" w:rsidRDefault="00D23F5F" w:rsidP="001004D6">
      <w:pPr>
        <w:pStyle w:val="SuperHeading"/>
      </w:pPr>
      <w:r w:rsidRPr="001004D6">
        <w:lastRenderedPageBreak/>
        <w:t>TLIX0018X Monitor compliance in digital supply chains</w:t>
      </w:r>
    </w:p>
    <w:p w:rsidR="00000000" w:rsidRPr="001004D6" w:rsidRDefault="00D23F5F" w:rsidP="001004D6">
      <w:pPr>
        <w:pStyle w:val="Heading1"/>
      </w:pPr>
      <w:bookmarkStart w:id="1" w:name="O_1066424"/>
      <w:bookmarkEnd w:id="1"/>
      <w:r w:rsidRPr="001004D6">
        <w:t>Modification History</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004D6" w:rsidTr="001004D6">
        <w:tc>
          <w:tcPr>
            <w:tcW w:w="9497"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rPr>
                <w:rStyle w:val="SpecialBold"/>
              </w:rPr>
              <w:t>Release 1.</w:t>
            </w:r>
            <w:r w:rsidRPr="001004D6">
              <w:t xml:space="preserve"> This is the first release of this unit of competency in the TLI Transport and Logistics Training Package.</w:t>
            </w:r>
          </w:p>
        </w:tc>
      </w:tr>
    </w:tbl>
    <w:p w:rsidR="00000000" w:rsidRPr="001004D6" w:rsidRDefault="00D23F5F" w:rsidP="001004D6">
      <w:pPr>
        <w:pStyle w:val="NoPaddingFontSize1"/>
      </w:pPr>
    </w:p>
    <w:p w:rsidR="00000000" w:rsidRPr="001004D6" w:rsidRDefault="00D23F5F" w:rsidP="001004D6">
      <w:pPr>
        <w:pStyle w:val="AllowPageBreak"/>
      </w:pPr>
    </w:p>
    <w:p w:rsidR="00000000" w:rsidRPr="001004D6" w:rsidRDefault="00D23F5F" w:rsidP="001004D6">
      <w:pPr>
        <w:pStyle w:val="Heading1"/>
      </w:pPr>
      <w:bookmarkStart w:id="2" w:name="O_1066425"/>
      <w:bookmarkEnd w:id="2"/>
      <w:r w:rsidRPr="001004D6">
        <w:t>Application</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004D6" w:rsidTr="001004D6">
        <w:tc>
          <w:tcPr>
            <w:tcW w:w="9497"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t>This unit of competency describes the skills and knowledge required</w:t>
            </w:r>
            <w:r w:rsidRPr="001004D6">
              <w:t xml:space="preserve"> to manage compliance in digital supply chains. It includes identifying digital supply chain compliance requirements, maintaining digital supply chain compliance information, monitoring digital supply chain compliance and reviewing and reporting on digital</w:t>
            </w:r>
            <w:r w:rsidRPr="001004D6">
              <w:t xml:space="preserve"> supply chain compliance.</w:t>
            </w:r>
          </w:p>
          <w:p w:rsidR="00000000" w:rsidRPr="001004D6" w:rsidRDefault="00D23F5F" w:rsidP="001004D6">
            <w:pPr>
              <w:pStyle w:val="BodyText"/>
            </w:pPr>
            <w:r w:rsidRPr="001004D6">
              <w:t>Compliance refers to the adherence of established guidelines and all legal requirements including those in relation to sourcing, manufacturing and delivering products in a digital supply chain. Tracking and complying with local, n</w:t>
            </w:r>
            <w:r w:rsidRPr="001004D6">
              <w:t>ational and international product and supply chain laws and industry standards is critical to the maintenance of confidence in digital supply chains.</w:t>
            </w:r>
          </w:p>
          <w:p w:rsidR="00000000" w:rsidRPr="001004D6" w:rsidRDefault="00D23F5F" w:rsidP="001004D6">
            <w:pPr>
              <w:pStyle w:val="BodyText"/>
            </w:pPr>
            <w:r w:rsidRPr="001004D6">
              <w:t>The unit is applicable to those with management or team leadership responsibilities within a digital suppl</w:t>
            </w:r>
            <w:r w:rsidRPr="001004D6">
              <w:t>y chain.</w:t>
            </w:r>
          </w:p>
          <w:p w:rsidR="00000000" w:rsidRPr="001004D6" w:rsidRDefault="00D23F5F" w:rsidP="001004D6">
            <w:pPr>
              <w:pStyle w:val="BodyText"/>
            </w:pPr>
            <w:r w:rsidRPr="001004D6">
              <w:t>No licensing, legislative or certification requirements apply to this unit at the time of publication.</w:t>
            </w:r>
          </w:p>
        </w:tc>
      </w:tr>
    </w:tbl>
    <w:p w:rsidR="00000000" w:rsidRPr="001004D6" w:rsidRDefault="00D23F5F" w:rsidP="001004D6">
      <w:pPr>
        <w:pStyle w:val="NoPaddingFontSize1"/>
      </w:pPr>
    </w:p>
    <w:p w:rsidR="00000000" w:rsidRPr="001004D6" w:rsidRDefault="00D23F5F" w:rsidP="001004D6">
      <w:pPr>
        <w:pStyle w:val="AllowPageBreak"/>
      </w:pPr>
    </w:p>
    <w:p w:rsidR="00000000" w:rsidRPr="001004D6" w:rsidRDefault="00D23F5F" w:rsidP="001004D6">
      <w:pPr>
        <w:pStyle w:val="Heading1"/>
      </w:pPr>
      <w:bookmarkStart w:id="3" w:name="O_1066426"/>
      <w:bookmarkEnd w:id="3"/>
      <w:r w:rsidRPr="001004D6">
        <w:t>Pre-requisite Unit</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004D6" w:rsidTr="001004D6">
        <w:tc>
          <w:tcPr>
            <w:tcW w:w="9497"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t>Not applicable</w:t>
            </w:r>
          </w:p>
        </w:tc>
      </w:tr>
    </w:tbl>
    <w:p w:rsidR="00000000" w:rsidRPr="001004D6" w:rsidRDefault="00D23F5F" w:rsidP="001004D6">
      <w:pPr>
        <w:pStyle w:val="NoPaddingFontSize1"/>
      </w:pPr>
    </w:p>
    <w:p w:rsidR="00000000" w:rsidRPr="001004D6" w:rsidRDefault="00D23F5F" w:rsidP="001004D6">
      <w:pPr>
        <w:pStyle w:val="AllowPageBreak"/>
      </w:pPr>
    </w:p>
    <w:p w:rsidR="00000000" w:rsidRPr="001004D6" w:rsidRDefault="00D23F5F" w:rsidP="001004D6">
      <w:pPr>
        <w:pStyle w:val="Heading1"/>
      </w:pPr>
      <w:bookmarkStart w:id="4" w:name="O_1066427"/>
      <w:bookmarkEnd w:id="4"/>
      <w:r w:rsidRPr="001004D6">
        <w:t>Competency Field</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004D6" w:rsidTr="001004D6">
        <w:tc>
          <w:tcPr>
            <w:tcW w:w="9497"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t>X - Logistics</w:t>
            </w:r>
          </w:p>
        </w:tc>
      </w:tr>
    </w:tbl>
    <w:p w:rsidR="00000000" w:rsidRPr="001004D6" w:rsidRDefault="00D23F5F" w:rsidP="001004D6">
      <w:pPr>
        <w:pStyle w:val="NoPaddingFontSize1"/>
      </w:pPr>
    </w:p>
    <w:p w:rsidR="00000000" w:rsidRPr="001004D6" w:rsidRDefault="00D23F5F" w:rsidP="001004D6">
      <w:pPr>
        <w:pStyle w:val="AllowPageBreak"/>
      </w:pPr>
    </w:p>
    <w:p w:rsidR="00000000" w:rsidRPr="001004D6" w:rsidRDefault="00D23F5F" w:rsidP="001004D6">
      <w:pPr>
        <w:pStyle w:val="Heading1"/>
      </w:pPr>
      <w:bookmarkStart w:id="5" w:name="O_1066428"/>
      <w:bookmarkEnd w:id="5"/>
      <w:r w:rsidRPr="001004D6">
        <w:t>Unit Sector</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004D6" w:rsidTr="001004D6">
        <w:tc>
          <w:tcPr>
            <w:tcW w:w="9497"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t>Cross sector</w:t>
            </w:r>
          </w:p>
        </w:tc>
      </w:tr>
    </w:tbl>
    <w:p w:rsidR="00000000" w:rsidRPr="001004D6" w:rsidRDefault="00D23F5F" w:rsidP="001004D6">
      <w:pPr>
        <w:pStyle w:val="NoPaddingFontSize1"/>
      </w:pPr>
    </w:p>
    <w:p w:rsidR="00000000" w:rsidRPr="001004D6" w:rsidRDefault="00D23F5F" w:rsidP="001004D6">
      <w:pPr>
        <w:pStyle w:val="AllowPageBreak"/>
      </w:pPr>
    </w:p>
    <w:p w:rsidR="00000000" w:rsidRPr="001004D6" w:rsidRDefault="00D23F5F" w:rsidP="001004D6">
      <w:pPr>
        <w:pStyle w:val="Heading1"/>
      </w:pPr>
      <w:bookmarkStart w:id="6" w:name="O_1066429"/>
      <w:bookmarkEnd w:id="6"/>
      <w:r w:rsidRPr="001004D6">
        <w:t>Elements and Performance Criteria</w:t>
      </w:r>
    </w:p>
    <w:tbl>
      <w:tblPr>
        <w:tblW w:w="9497" w:type="dxa"/>
        <w:tblLayout w:type="fixed"/>
        <w:tblCellMar>
          <w:left w:w="62" w:type="dxa"/>
          <w:right w:w="62" w:type="dxa"/>
        </w:tblCellMar>
        <w:tblLook w:val="0000" w:firstRow="0" w:lastRow="0" w:firstColumn="0" w:lastColumn="0" w:noHBand="0" w:noVBand="0"/>
      </w:tblPr>
      <w:tblGrid>
        <w:gridCol w:w="464"/>
        <w:gridCol w:w="2744"/>
        <w:gridCol w:w="697"/>
        <w:gridCol w:w="5592"/>
      </w:tblGrid>
      <w:tr w:rsidR="001004D6" w:rsidTr="001004D6">
        <w:tc>
          <w:tcPr>
            <w:tcW w:w="3208" w:type="dxa"/>
            <w:gridSpan w:val="2"/>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rPr>
                <w:rStyle w:val="SpecialBold"/>
              </w:rPr>
              <w:t>ELEMENTS</w:t>
            </w:r>
          </w:p>
        </w:tc>
        <w:tc>
          <w:tcPr>
            <w:tcW w:w="6289" w:type="dxa"/>
            <w:gridSpan w:val="2"/>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PERFORMANCE CRITERIA</w:t>
            </w:r>
          </w:p>
        </w:tc>
      </w:tr>
      <w:tr w:rsidR="001004D6" w:rsidRPr="001004D6" w:rsidTr="001004D6">
        <w:tc>
          <w:tcPr>
            <w:tcW w:w="3208" w:type="dxa"/>
            <w:gridSpan w:val="2"/>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Elements describe the essential outcomes.</w:t>
            </w:r>
          </w:p>
        </w:tc>
        <w:tc>
          <w:tcPr>
            <w:tcW w:w="6289" w:type="dxa"/>
            <w:gridSpan w:val="2"/>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Performance criteria describe the performance needed to demonstrate achievement of the element.</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rPr>
                <w:rStyle w:val="SpecialBold"/>
              </w:rPr>
              <w:t>1</w:t>
            </w:r>
          </w:p>
        </w:tc>
        <w:tc>
          <w:tcPr>
            <w:tcW w:w="2744"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rPr>
                <w:rStyle w:val="SpecialBold"/>
              </w:rPr>
              <w:t xml:space="preserve">Identify compliance </w:t>
            </w:r>
            <w:r w:rsidRPr="001004D6">
              <w:rPr>
                <w:rStyle w:val="SpecialBold"/>
              </w:rPr>
              <w:lastRenderedPageBreak/>
              <w:t>requirements</w:t>
            </w: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lastRenderedPageBreak/>
              <w:t>1.1</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 xml:space="preserve">Compliance strategy, including Key Performance </w:t>
            </w:r>
            <w:r w:rsidRPr="001004D6">
              <w:lastRenderedPageBreak/>
              <w:t>Indicators (KPIs), for the digital supply chain is confirmed</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1.2</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Legislation, codes of practice and industry standards applicable to digital supply chains are identified</w:t>
            </w:r>
            <w:r w:rsidRPr="001004D6">
              <w:t xml:space="preserve"> </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1.3</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Compliance policies and procedures, including corrective action protocols and processes, are determined</w:t>
            </w:r>
          </w:p>
        </w:tc>
      </w:tr>
      <w:tr w:rsidR="00000000" w:rsidRPr="001004D6"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1.4</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Responsibility and level of authority for digital supply chain compliance is verified</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rPr>
                <w:rStyle w:val="SpecialBold"/>
              </w:rPr>
              <w:t>2</w:t>
            </w:r>
          </w:p>
        </w:tc>
        <w:tc>
          <w:tcPr>
            <w:tcW w:w="2744"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rPr>
                <w:rStyle w:val="SpecialBold"/>
              </w:rPr>
              <w:t>Maintain compliance information</w:t>
            </w:r>
            <w:r w:rsidRPr="001004D6">
              <w:t xml:space="preserve"> </w:t>
            </w:r>
            <w:r w:rsidRPr="001004D6">
              <w:rPr>
                <w:rStyle w:val="SpecialBold"/>
              </w:rPr>
              <w:t xml:space="preserve">  </w:t>
            </w: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2.1</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 xml:space="preserve">Compliance data is collected and maintained, in accordance with compliance procedures, using approved systems and tools </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2.2</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Supplier</w:t>
            </w:r>
            <w:r>
              <w:t>’</w:t>
            </w:r>
            <w:r w:rsidRPr="001004D6">
              <w:t>s financial viability, contract compliance and third party affiliations are validated, in accordance with compliance pr</w:t>
            </w:r>
            <w:r w:rsidRPr="001004D6">
              <w:t>ocedures</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2.3</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Supplier certificates, disclosure statements and other supporting documentation are maintained, in accordance with compliance procedures and legislative obligations</w:t>
            </w:r>
          </w:p>
        </w:tc>
      </w:tr>
      <w:tr w:rsidR="00000000" w:rsidRPr="001004D6"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 xml:space="preserve">2.4 </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 xml:space="preserve">Compliance information is communicated to digital supply chain stakeholders </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rPr>
                <w:rStyle w:val="SpecialBold"/>
              </w:rPr>
              <w:t>3</w:t>
            </w:r>
          </w:p>
        </w:tc>
        <w:tc>
          <w:tcPr>
            <w:tcW w:w="2744"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rPr>
                <w:rStyle w:val="SpecialBold"/>
              </w:rPr>
              <w:t xml:space="preserve">Monitor compliance </w:t>
            </w: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3.1</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Compliance gaps in the digital supply chain are monitored, using approved methods and tools, to mitigate risks and identify areas of improvement</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3.2</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Quality system reports are monitored and non-compliance issues are tracked, in accordance with compliance procedures</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3.3</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Cyber security and data storage risks are monitored, in accordance with compliance procedures, to ensure digital supply chain integr</w:t>
            </w:r>
            <w:r w:rsidRPr="001004D6">
              <w:t xml:space="preserve">ity </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3.4</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 xml:space="preserve">Legislative and regulatory compliance is monitored throughout the digital supply chain, in accordance with compliance procedures  </w:t>
            </w:r>
          </w:p>
        </w:tc>
      </w:tr>
      <w:tr w:rsidR="00000000" w:rsidRPr="001004D6"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3.5</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 xml:space="preserve">Non-compliance actions and breaches, including whistle blower reports, are documented and corrective actions are monitored, in accordance with compliance procedures </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rPr>
                <w:rStyle w:val="SpecialBold"/>
              </w:rPr>
              <w:lastRenderedPageBreak/>
              <w:t>4</w:t>
            </w:r>
          </w:p>
        </w:tc>
        <w:tc>
          <w:tcPr>
            <w:tcW w:w="2744"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rPr>
                <w:rStyle w:val="SpecialBold"/>
              </w:rPr>
              <w:t>Review and report on compliance</w:t>
            </w: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4.1</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Compliance strategy and KPIs are reviewed, in consu</w:t>
            </w:r>
            <w:r w:rsidRPr="001004D6">
              <w:t xml:space="preserve">ltation with digital supply chain stakeholders, to identify improvements  </w:t>
            </w:r>
          </w:p>
        </w:tc>
      </w:tr>
      <w:tr w:rsidR="00000000"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4.2</w:t>
            </w:r>
          </w:p>
        </w:tc>
        <w:tc>
          <w:tcPr>
            <w:tcW w:w="5592"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t xml:space="preserve">Digital supply chain compliance report, including recommendations, is prepared and presented to approved stakeholders </w:t>
            </w:r>
          </w:p>
        </w:tc>
      </w:tr>
      <w:tr w:rsidR="00000000" w:rsidRPr="001004D6" w:rsidTr="001004D6">
        <w:tc>
          <w:tcPr>
            <w:tcW w:w="464" w:type="dxa"/>
            <w:tcBorders>
              <w:top w:val="nil"/>
              <w:left w:val="nil"/>
              <w:bottom w:val="nil"/>
              <w:right w:val="nil"/>
            </w:tcBorders>
            <w:tcMar>
              <w:top w:w="0" w:type="dxa"/>
              <w:left w:w="62" w:type="dxa"/>
              <w:bottom w:w="0" w:type="dxa"/>
              <w:right w:w="62" w:type="dxa"/>
            </w:tcMar>
          </w:tcPr>
          <w:p w:rsidR="00000000" w:rsidRDefault="00D23F5F">
            <w:pPr>
              <w:pStyle w:val="BodyText"/>
              <w:keepLines w:val="0"/>
              <w:rPr>
                <w:rFonts w:ascii="Tahoma" w:hAnsi="Tahoma"/>
                <w:sz w:val="20"/>
                <w:lang w:val="en-NZ"/>
              </w:rPr>
            </w:pPr>
          </w:p>
        </w:tc>
        <w:tc>
          <w:tcPr>
            <w:tcW w:w="2744" w:type="dxa"/>
            <w:tcBorders>
              <w:top w:val="nil"/>
              <w:left w:val="nil"/>
              <w:bottom w:val="nil"/>
              <w:right w:val="nil"/>
            </w:tcBorders>
            <w:tcMar>
              <w:top w:w="0" w:type="dxa"/>
              <w:left w:w="62" w:type="dxa"/>
              <w:bottom w:w="0" w:type="dxa"/>
              <w:right w:w="62" w:type="dxa"/>
            </w:tcMar>
          </w:tcPr>
          <w:p w:rsidR="00000000" w:rsidRPr="001004D6" w:rsidRDefault="00D23F5F">
            <w:pPr>
              <w:pStyle w:val="BodyText"/>
              <w:keepLines w:val="0"/>
            </w:pPr>
          </w:p>
        </w:tc>
        <w:tc>
          <w:tcPr>
            <w:tcW w:w="697" w:type="dxa"/>
            <w:tcBorders>
              <w:top w:val="nil"/>
              <w:left w:val="nil"/>
              <w:bottom w:val="nil"/>
              <w:right w:val="nil"/>
            </w:tcBorders>
            <w:tcMar>
              <w:top w:w="0" w:type="dxa"/>
              <w:left w:w="62" w:type="dxa"/>
              <w:bottom w:w="0" w:type="dxa"/>
              <w:right w:w="62" w:type="dxa"/>
            </w:tcMar>
          </w:tcPr>
          <w:p w:rsidR="00000000" w:rsidRDefault="00D23F5F" w:rsidP="001004D6">
            <w:pPr>
              <w:pStyle w:val="BodyText"/>
              <w:rPr>
                <w:lang w:val="en-NZ"/>
              </w:rPr>
            </w:pPr>
            <w:r w:rsidRPr="001004D6">
              <w:rPr>
                <w:rStyle w:val="SpecialBold"/>
              </w:rPr>
              <w:t>4.3</w:t>
            </w:r>
          </w:p>
        </w:tc>
        <w:tc>
          <w:tcPr>
            <w:tcW w:w="5592"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t>Continuous improvement actions to support digita</w:t>
            </w:r>
            <w:r w:rsidRPr="001004D6">
              <w:t>l supply chain compliance are documented</w:t>
            </w:r>
          </w:p>
        </w:tc>
      </w:tr>
    </w:tbl>
    <w:p w:rsidR="00000000" w:rsidRPr="001004D6" w:rsidRDefault="00D23F5F" w:rsidP="001004D6">
      <w:pPr>
        <w:pStyle w:val="NoPaddingFontSize1"/>
      </w:pPr>
    </w:p>
    <w:p w:rsidR="00000000" w:rsidRPr="001004D6" w:rsidRDefault="00D23F5F" w:rsidP="001004D6">
      <w:pPr>
        <w:pStyle w:val="AllowPageBreak"/>
      </w:pPr>
    </w:p>
    <w:p w:rsidR="00000000" w:rsidRPr="001004D6" w:rsidRDefault="00D23F5F" w:rsidP="001004D6">
      <w:pPr>
        <w:pStyle w:val="Heading1"/>
      </w:pPr>
      <w:bookmarkStart w:id="7" w:name="O_1066430"/>
      <w:bookmarkEnd w:id="7"/>
      <w:r w:rsidRPr="001004D6">
        <w:t>Foundation Skills</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004D6" w:rsidTr="001004D6">
        <w:tc>
          <w:tcPr>
            <w:tcW w:w="9497"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t>Foundation skills essential to performance are explicit in the performance criteria of this unit of competency.</w:t>
            </w:r>
          </w:p>
        </w:tc>
      </w:tr>
    </w:tbl>
    <w:p w:rsidR="00000000" w:rsidRPr="001004D6" w:rsidRDefault="00D23F5F" w:rsidP="001004D6">
      <w:pPr>
        <w:pStyle w:val="NoPaddingFontSize1"/>
      </w:pPr>
    </w:p>
    <w:p w:rsidR="00000000" w:rsidRPr="001004D6" w:rsidRDefault="00D23F5F" w:rsidP="001004D6">
      <w:pPr>
        <w:pStyle w:val="AllowPageBreak"/>
      </w:pPr>
    </w:p>
    <w:p w:rsidR="00000000" w:rsidRPr="001004D6" w:rsidRDefault="00D23F5F" w:rsidP="001004D6">
      <w:pPr>
        <w:pStyle w:val="Heading1"/>
      </w:pPr>
      <w:bookmarkStart w:id="8" w:name="O_1066431"/>
      <w:bookmarkEnd w:id="8"/>
      <w:r w:rsidRPr="001004D6">
        <w:t>Range of Conditions</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004D6" w:rsidTr="001004D6">
        <w:tc>
          <w:tcPr>
            <w:tcW w:w="9497"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t>Range is restricted to essential operating conditions and any other variables essential to the work environment.</w:t>
            </w:r>
          </w:p>
          <w:p w:rsidR="00000000" w:rsidRPr="001004D6" w:rsidRDefault="00D23F5F" w:rsidP="001004D6">
            <w:pPr>
              <w:pStyle w:val="BodyText"/>
            </w:pPr>
            <w:r w:rsidRPr="001004D6">
              <w:t>Non-essential conditions may be found in the Companion Volume Implementation Guide.</w:t>
            </w:r>
          </w:p>
        </w:tc>
      </w:tr>
    </w:tbl>
    <w:p w:rsidR="00000000" w:rsidRPr="001004D6" w:rsidRDefault="00D23F5F" w:rsidP="001004D6">
      <w:pPr>
        <w:pStyle w:val="NoPaddingFontSize1"/>
      </w:pPr>
    </w:p>
    <w:p w:rsidR="00000000" w:rsidRPr="001004D6" w:rsidRDefault="00D23F5F" w:rsidP="001004D6">
      <w:pPr>
        <w:pStyle w:val="AllowPageBreak"/>
      </w:pPr>
    </w:p>
    <w:p w:rsidR="00000000" w:rsidRPr="001004D6" w:rsidRDefault="00D23F5F" w:rsidP="001004D6">
      <w:pPr>
        <w:pStyle w:val="Heading1"/>
      </w:pPr>
      <w:bookmarkStart w:id="9" w:name="O_1066432"/>
      <w:bookmarkEnd w:id="9"/>
      <w:r w:rsidRPr="001004D6">
        <w:t>Unit Mapping Information</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004D6" w:rsidTr="001004D6">
        <w:tc>
          <w:tcPr>
            <w:tcW w:w="9497" w:type="dxa"/>
            <w:tcBorders>
              <w:top w:val="nil"/>
              <w:left w:val="nil"/>
              <w:bottom w:val="nil"/>
              <w:right w:val="nil"/>
            </w:tcBorders>
            <w:tcMar>
              <w:top w:w="0" w:type="dxa"/>
              <w:left w:w="62" w:type="dxa"/>
              <w:bottom w:w="0" w:type="dxa"/>
              <w:right w:w="62" w:type="dxa"/>
            </w:tcMar>
          </w:tcPr>
          <w:p w:rsidR="00000000" w:rsidRPr="001004D6" w:rsidRDefault="00D23F5F" w:rsidP="001004D6">
            <w:pPr>
              <w:pStyle w:val="BodyText"/>
            </w:pPr>
            <w:r w:rsidRPr="001004D6">
              <w:t>This is a new</w:t>
            </w:r>
            <w:r w:rsidRPr="001004D6">
              <w:t xml:space="preserve"> unit. There is no equivalent unit.</w:t>
            </w:r>
          </w:p>
        </w:tc>
      </w:tr>
    </w:tbl>
    <w:p w:rsidR="00000000" w:rsidRPr="001004D6" w:rsidRDefault="00D23F5F" w:rsidP="001004D6">
      <w:pPr>
        <w:pStyle w:val="NoPaddingFontSize1"/>
      </w:pPr>
    </w:p>
    <w:p w:rsidR="00000000" w:rsidRPr="001004D6" w:rsidRDefault="00D23F5F" w:rsidP="001004D6">
      <w:pPr>
        <w:pStyle w:val="AllowPageBreak"/>
      </w:pPr>
    </w:p>
    <w:p w:rsidR="00000000" w:rsidRPr="001004D6" w:rsidRDefault="00D23F5F" w:rsidP="001004D6">
      <w:pPr>
        <w:pStyle w:val="Heading1"/>
      </w:pPr>
      <w:bookmarkStart w:id="10" w:name="O_1066439"/>
      <w:bookmarkEnd w:id="10"/>
      <w:r w:rsidRPr="001004D6">
        <w:t>Links</w:t>
      </w:r>
    </w:p>
    <w:p w:rsidR="00000000" w:rsidRPr="001004D6" w:rsidRDefault="00D23F5F" w:rsidP="00D23F5F">
      <w:pPr>
        <w:pStyle w:val="BodyText"/>
      </w:pPr>
      <w:r w:rsidRPr="001004D6">
        <w:t xml:space="preserve">Companion Volume Implementation Guides are found in VETNet - </w:t>
      </w:r>
      <w:hyperlink r:id="rId13" w:history="1">
        <w:r w:rsidRPr="00E676FC">
          <w:rPr>
            <w:rStyle w:val="Hyperlink"/>
          </w:rPr>
          <w:t>https://vetnet.gov.au/Pages/TrainingDocs.aspx?q=df441c6e-213d-43e3-874c-0b3f7036d851</w:t>
        </w:r>
      </w:hyperlink>
    </w:p>
    <w:p w:rsidR="00000000" w:rsidRPr="001004D6" w:rsidRDefault="00D23F5F" w:rsidP="001004D6"/>
    <w:sectPr w:rsidR="00000000" w:rsidRPr="001004D6" w:rsidSect="001004D6">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4D6" w:rsidRDefault="001004D6" w:rsidP="001004D6">
      <w:r>
        <w:separator/>
      </w:r>
    </w:p>
  </w:endnote>
  <w:endnote w:type="continuationSeparator" w:id="0">
    <w:p w:rsidR="001004D6" w:rsidRDefault="001004D6" w:rsidP="00100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4D6" w:rsidRDefault="001004D6">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4D6" w:rsidRPr="00D23F5F" w:rsidRDefault="001004D6" w:rsidP="00D23F5F">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4D6" w:rsidRDefault="001004D6">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F5F" w:rsidRDefault="00D23F5F" w:rsidP="001004D6">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D23F5F" w:rsidRDefault="00D23F5F" w:rsidP="001004D6">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Australian Industry Standards</w:t>
      </w:r>
    </w:fldSimple>
  </w:p>
  <w:p w:rsidR="00D23F5F" w:rsidRDefault="00D23F5F" w:rsidP="001004D6">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4D6" w:rsidRDefault="001004D6" w:rsidP="001004D6">
      <w:r>
        <w:separator/>
      </w:r>
    </w:p>
  </w:footnote>
  <w:footnote w:type="continuationSeparator" w:id="0">
    <w:p w:rsidR="001004D6" w:rsidRDefault="001004D6" w:rsidP="00100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4D6" w:rsidRDefault="001004D6">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F5F" w:rsidRDefault="00D23F5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CE635C9" wp14:editId="76AA1271">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1004D6" w:rsidRPr="00D23F5F" w:rsidRDefault="001004D6" w:rsidP="00D23F5F">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4D6" w:rsidRDefault="001004D6">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F5F" w:rsidRPr="002D2AF8" w:rsidRDefault="00D23F5F" w:rsidP="001004D6">
    <w:pPr>
      <w:pStyle w:val="Header"/>
      <w:framePr w:wrap="around"/>
    </w:pPr>
    <w:fldSimple w:instr=" TITLE   \* MERGEFORMAT ">
      <w:r>
        <w:t>TLIX0018X Monitor compliance in digital supply chains</w:t>
      </w:r>
    </w:fldSimple>
    <w:r>
      <w:tab/>
      <w:t xml:space="preserve">Date this document was generated: </w:t>
    </w:r>
    <w:r>
      <w:fldChar w:fldCharType="begin"/>
    </w:r>
    <w:r>
      <w:instrText xml:space="preserve"> CREATEDATE  \@ "d MMMM yyyy"  \* MERGEFORMAT </w:instrText>
    </w:r>
    <w:r>
      <w:fldChar w:fldCharType="separate"/>
    </w:r>
    <w:r>
      <w:rPr>
        <w:noProof/>
      </w:rPr>
      <w:t>15 December 2022</w:t>
    </w:r>
    <w:r>
      <w:fldChar w:fldCharType="end"/>
    </w:r>
  </w:p>
  <w:p w:rsidR="00D23F5F" w:rsidRDefault="00D23F5F" w:rsidP="001004D6">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004D6"/>
    <w:rsid w:val="001004D6"/>
    <w:rsid w:val="00D23F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4D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004D6"/>
    <w:pPr>
      <w:spacing w:before="360" w:after="60"/>
      <w:outlineLvl w:val="0"/>
    </w:pPr>
    <w:rPr>
      <w:sz w:val="32"/>
    </w:rPr>
  </w:style>
  <w:style w:type="paragraph" w:styleId="Heading2">
    <w:name w:val="heading 2"/>
    <w:basedOn w:val="HeadingBase"/>
    <w:next w:val="BodyText"/>
    <w:link w:val="Heading2Char"/>
    <w:qFormat/>
    <w:rsid w:val="001004D6"/>
    <w:pPr>
      <w:keepLines/>
      <w:spacing w:before="240" w:after="120"/>
      <w:outlineLvl w:val="1"/>
    </w:pPr>
    <w:rPr>
      <w:sz w:val="28"/>
      <w:szCs w:val="40"/>
    </w:rPr>
  </w:style>
  <w:style w:type="paragraph" w:styleId="Heading3">
    <w:name w:val="heading 3"/>
    <w:basedOn w:val="HeadingBase"/>
    <w:next w:val="BodyText"/>
    <w:link w:val="Heading3Char"/>
    <w:qFormat/>
    <w:rsid w:val="001004D6"/>
    <w:pPr>
      <w:spacing w:before="180" w:after="120"/>
      <w:outlineLvl w:val="2"/>
    </w:pPr>
    <w:rPr>
      <w:spacing w:val="-10"/>
      <w:kern w:val="32"/>
    </w:rPr>
  </w:style>
  <w:style w:type="paragraph" w:styleId="Heading4">
    <w:name w:val="heading 4"/>
    <w:basedOn w:val="HeadingBase"/>
    <w:next w:val="BodyText"/>
    <w:link w:val="Heading4Char"/>
    <w:qFormat/>
    <w:rsid w:val="001004D6"/>
    <w:pPr>
      <w:spacing w:before="160" w:after="120"/>
      <w:outlineLvl w:val="3"/>
    </w:pPr>
    <w:rPr>
      <w:sz w:val="22"/>
    </w:rPr>
  </w:style>
  <w:style w:type="paragraph" w:styleId="Heading5">
    <w:name w:val="heading 5"/>
    <w:basedOn w:val="HeadingBase"/>
    <w:next w:val="Normal"/>
    <w:link w:val="Heading5Char"/>
    <w:qFormat/>
    <w:rsid w:val="001004D6"/>
    <w:pPr>
      <w:spacing w:before="80"/>
      <w:outlineLvl w:val="4"/>
    </w:pPr>
    <w:rPr>
      <w:color w:val="918585"/>
      <w:sz w:val="20"/>
    </w:rPr>
  </w:style>
  <w:style w:type="paragraph" w:styleId="Heading6">
    <w:name w:val="heading 6"/>
    <w:basedOn w:val="HeadingBase"/>
    <w:next w:val="Normal"/>
    <w:link w:val="Heading6Char"/>
    <w:qFormat/>
    <w:rsid w:val="001004D6"/>
    <w:pPr>
      <w:spacing w:before="60"/>
      <w:outlineLvl w:val="5"/>
    </w:pPr>
    <w:rPr>
      <w:color w:val="918585"/>
      <w:sz w:val="20"/>
    </w:rPr>
  </w:style>
  <w:style w:type="paragraph" w:styleId="Heading7">
    <w:name w:val="heading 7"/>
    <w:basedOn w:val="Normal"/>
    <w:next w:val="Normal"/>
    <w:link w:val="Heading7Char"/>
    <w:qFormat/>
    <w:rsid w:val="001004D6"/>
    <w:pPr>
      <w:ind w:left="720"/>
      <w:outlineLvl w:val="6"/>
    </w:pPr>
    <w:rPr>
      <w:i/>
    </w:rPr>
  </w:style>
  <w:style w:type="paragraph" w:styleId="Heading8">
    <w:name w:val="heading 8"/>
    <w:basedOn w:val="Normal"/>
    <w:next w:val="Normal"/>
    <w:link w:val="Heading8Char"/>
    <w:qFormat/>
    <w:rsid w:val="001004D6"/>
    <w:pPr>
      <w:ind w:left="720"/>
      <w:outlineLvl w:val="7"/>
    </w:pPr>
    <w:rPr>
      <w:i/>
    </w:rPr>
  </w:style>
  <w:style w:type="paragraph" w:styleId="Heading9">
    <w:name w:val="heading 9"/>
    <w:basedOn w:val="Normal"/>
    <w:next w:val="Normal"/>
    <w:link w:val="Heading9Char"/>
    <w:qFormat/>
    <w:rsid w:val="001004D6"/>
    <w:pPr>
      <w:ind w:left="720"/>
      <w:outlineLvl w:val="8"/>
    </w:pPr>
    <w:rPr>
      <w:i/>
    </w:rPr>
  </w:style>
  <w:style w:type="character" w:default="1" w:styleId="DefaultParagraphFont">
    <w:name w:val="Default Paragraph Font"/>
    <w:uiPriority w:val="1"/>
    <w:unhideWhenUsed/>
    <w:rsid w:val="001004D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004D6"/>
  </w:style>
  <w:style w:type="character" w:customStyle="1" w:styleId="Heading1Char">
    <w:name w:val="Heading 1 Char"/>
    <w:basedOn w:val="DefaultParagraphFont"/>
    <w:link w:val="Heading1"/>
    <w:rsid w:val="001004D6"/>
    <w:rPr>
      <w:rFonts w:ascii="Times New Roman" w:eastAsia="Times New Roman" w:hAnsi="Times New Roman" w:cs="Times New Roman"/>
      <w:b/>
      <w:sz w:val="32"/>
      <w:szCs w:val="20"/>
      <w:lang w:eastAsia="en-US"/>
    </w:rPr>
  </w:style>
  <w:style w:type="paragraph" w:styleId="BodyText">
    <w:name w:val="Body Text"/>
    <w:basedOn w:val="Normal"/>
    <w:link w:val="BodyTextChar"/>
    <w:rsid w:val="001004D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004D6"/>
    <w:rPr>
      <w:rFonts w:ascii="Times New Roman" w:eastAsia="Times New Roman" w:hAnsi="Times New Roman" w:cs="Times New Roman"/>
      <w:sz w:val="24"/>
      <w:lang w:eastAsia="en-US"/>
    </w:rPr>
  </w:style>
  <w:style w:type="character" w:customStyle="1" w:styleId="SpecialBold">
    <w:name w:val="Special Bold"/>
    <w:basedOn w:val="DefaultParagraphFont"/>
    <w:rsid w:val="001004D6"/>
    <w:rPr>
      <w:b/>
      <w:spacing w:val="0"/>
    </w:rPr>
  </w:style>
  <w:style w:type="paragraph" w:customStyle="1" w:styleId="SuperHeading">
    <w:name w:val="SuperHeading"/>
    <w:basedOn w:val="Normal"/>
    <w:rsid w:val="001004D6"/>
    <w:pPr>
      <w:spacing w:before="240" w:after="120"/>
      <w:outlineLvl w:val="0"/>
    </w:pPr>
    <w:rPr>
      <w:rFonts w:ascii="Times New Roman" w:hAnsi="Times New Roman"/>
      <w:b/>
      <w:sz w:val="32"/>
    </w:rPr>
  </w:style>
  <w:style w:type="paragraph" w:customStyle="1" w:styleId="AllowPageBreak">
    <w:name w:val="AllowPageBreak"/>
    <w:rsid w:val="001004D6"/>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NoPaddingFontSize1">
    <w:name w:val="No Padding Font Size 1"/>
    <w:uiPriority w:val="99"/>
    <w:pPr>
      <w:widowControl w:val="0"/>
      <w:autoSpaceDE w:val="0"/>
      <w:autoSpaceDN w:val="0"/>
      <w:adjustRightInd w:val="0"/>
      <w:spacing w:after="0" w:line="240" w:lineRule="auto"/>
    </w:pPr>
    <w:rPr>
      <w:rFonts w:ascii="Tahoma" w:hAnsi="Tahoma" w:cs="Tahoma"/>
      <w:color w:val="000000"/>
      <w:sz w:val="2"/>
      <w:szCs w:val="2"/>
      <w:vertAlign w:val="subscript"/>
    </w:rPr>
  </w:style>
  <w:style w:type="character" w:customStyle="1" w:styleId="Heading2Char">
    <w:name w:val="Heading 2 Char"/>
    <w:basedOn w:val="DefaultParagraphFont"/>
    <w:link w:val="Heading2"/>
    <w:rsid w:val="001004D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004D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004D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004D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004D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004D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004D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004D6"/>
    <w:rPr>
      <w:rFonts w:ascii="Courier New" w:eastAsia="Times New Roman" w:hAnsi="Courier New" w:cs="Times New Roman"/>
      <w:i/>
      <w:szCs w:val="20"/>
      <w:lang w:eastAsia="en-US"/>
    </w:rPr>
  </w:style>
  <w:style w:type="paragraph" w:customStyle="1" w:styleId="HeadingBase">
    <w:name w:val="Heading Base"/>
    <w:rsid w:val="001004D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004D6"/>
    <w:pPr>
      <w:tabs>
        <w:tab w:val="right" w:leader="dot" w:pos="9072"/>
      </w:tabs>
      <w:ind w:left="567"/>
    </w:pPr>
    <w:rPr>
      <w:szCs w:val="22"/>
    </w:rPr>
  </w:style>
  <w:style w:type="paragraph" w:customStyle="1" w:styleId="TOCBase">
    <w:name w:val="TOC Base"/>
    <w:rsid w:val="001004D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004D6"/>
    <w:pPr>
      <w:tabs>
        <w:tab w:val="right" w:leader="dot" w:pos="9072"/>
      </w:tabs>
      <w:spacing w:before="40" w:after="40"/>
      <w:ind w:left="284"/>
    </w:pPr>
    <w:rPr>
      <w:rFonts w:ascii="Times New Roman" w:hAnsi="Times New Roman"/>
    </w:rPr>
  </w:style>
  <w:style w:type="paragraph" w:styleId="TOC1">
    <w:name w:val="toc 1"/>
    <w:basedOn w:val="TOCBase"/>
    <w:next w:val="Normal"/>
    <w:rsid w:val="001004D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004D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004D6"/>
    <w:rPr>
      <w:rFonts w:ascii="Times New Roman" w:eastAsia="Times New Roman" w:hAnsi="Times New Roman" w:cs="Times New Roman"/>
      <w:sz w:val="16"/>
      <w:lang w:eastAsia="en-US"/>
    </w:rPr>
  </w:style>
  <w:style w:type="paragraph" w:styleId="Title">
    <w:name w:val="Title"/>
    <w:basedOn w:val="HeadingBase"/>
    <w:link w:val="TitleChar"/>
    <w:qFormat/>
    <w:rsid w:val="001004D6"/>
    <w:pPr>
      <w:spacing w:before="5040"/>
      <w:jc w:val="center"/>
    </w:pPr>
    <w:rPr>
      <w:sz w:val="48"/>
      <w:szCs w:val="72"/>
      <w:lang w:val="en-US"/>
    </w:rPr>
  </w:style>
  <w:style w:type="character" w:customStyle="1" w:styleId="TitleChar">
    <w:name w:val="Title Char"/>
    <w:basedOn w:val="DefaultParagraphFont"/>
    <w:link w:val="Title"/>
    <w:rsid w:val="001004D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004D6"/>
    <w:pPr>
      <w:tabs>
        <w:tab w:val="left" w:pos="3600"/>
        <w:tab w:val="left" w:pos="3958"/>
      </w:tabs>
    </w:pPr>
  </w:style>
  <w:style w:type="paragraph" w:styleId="List">
    <w:name w:val="List"/>
    <w:basedOn w:val="BodyText"/>
    <w:next w:val="BodyText"/>
    <w:rsid w:val="001004D6"/>
    <w:pPr>
      <w:tabs>
        <w:tab w:val="left" w:pos="340"/>
      </w:tabs>
      <w:spacing w:before="60" w:after="60"/>
      <w:ind w:left="340" w:hanging="340"/>
    </w:pPr>
  </w:style>
  <w:style w:type="paragraph" w:styleId="ListBullet">
    <w:name w:val="List Bullet"/>
    <w:basedOn w:val="List"/>
    <w:rsid w:val="001004D6"/>
    <w:pPr>
      <w:numPr>
        <w:numId w:val="10"/>
      </w:numPr>
      <w:tabs>
        <w:tab w:val="clear" w:pos="340"/>
      </w:tabs>
      <w:spacing w:before="40" w:after="40"/>
    </w:pPr>
  </w:style>
  <w:style w:type="paragraph" w:customStyle="1" w:styleId="Note">
    <w:name w:val="Note"/>
    <w:basedOn w:val="BodyText"/>
    <w:rsid w:val="001004D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004D6"/>
    <w:pPr>
      <w:framePr w:wrap="auto" w:hAnchor="text" w:y="6049"/>
    </w:pPr>
    <w:rPr>
      <w:color w:val="000000"/>
      <w:sz w:val="40"/>
    </w:rPr>
  </w:style>
  <w:style w:type="paragraph" w:customStyle="1" w:styleId="TOCTitle">
    <w:name w:val="TOCTitle"/>
    <w:basedOn w:val="Heading1"/>
    <w:rsid w:val="001004D6"/>
    <w:pPr>
      <w:spacing w:after="240"/>
      <w:jc w:val="center"/>
      <w:outlineLvl w:val="9"/>
    </w:pPr>
    <w:rPr>
      <w:caps/>
    </w:rPr>
  </w:style>
  <w:style w:type="paragraph" w:customStyle="1" w:styleId="Version">
    <w:name w:val="Version"/>
    <w:rsid w:val="001004D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004D6"/>
    <w:pPr>
      <w:numPr>
        <w:numId w:val="11"/>
      </w:numPr>
      <w:tabs>
        <w:tab w:val="clear" w:pos="680"/>
      </w:tabs>
    </w:pPr>
  </w:style>
  <w:style w:type="paragraph" w:styleId="Index1">
    <w:name w:val="index 1"/>
    <w:basedOn w:val="Normal"/>
    <w:next w:val="Normal"/>
    <w:semiHidden/>
    <w:rsid w:val="001004D6"/>
    <w:pPr>
      <w:keepNext w:val="0"/>
      <w:tabs>
        <w:tab w:val="right" w:pos="4176"/>
      </w:tabs>
      <w:ind w:left="198" w:hanging="198"/>
    </w:pPr>
    <w:rPr>
      <w:rFonts w:ascii="Garamond" w:hAnsi="Garamond"/>
    </w:rPr>
  </w:style>
  <w:style w:type="paragraph" w:styleId="IndexHeading">
    <w:name w:val="index heading"/>
    <w:basedOn w:val="Normal"/>
    <w:next w:val="Index1"/>
    <w:semiHidden/>
    <w:rsid w:val="001004D6"/>
    <w:pPr>
      <w:spacing w:before="120" w:after="120"/>
    </w:pPr>
    <w:rPr>
      <w:rFonts w:ascii="Arial" w:hAnsi="Arial"/>
      <w:b/>
      <w:color w:val="918585"/>
      <w:sz w:val="24"/>
    </w:rPr>
  </w:style>
  <w:style w:type="paragraph" w:styleId="Header">
    <w:name w:val="header"/>
    <w:basedOn w:val="Normal"/>
    <w:link w:val="HeaderChar"/>
    <w:rsid w:val="001004D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004D6"/>
    <w:rPr>
      <w:rFonts w:ascii="Times New Roman" w:eastAsia="Times New Roman" w:hAnsi="Times New Roman" w:cs="Times New Roman"/>
      <w:sz w:val="16"/>
      <w:szCs w:val="20"/>
      <w:lang w:val="en-GB" w:eastAsia="en-US"/>
    </w:rPr>
  </w:style>
  <w:style w:type="paragraph" w:customStyle="1" w:styleId="Chapter">
    <w:name w:val="Chapter"/>
    <w:basedOn w:val="Normal"/>
    <w:rsid w:val="001004D6"/>
    <w:pPr>
      <w:spacing w:before="240"/>
    </w:pPr>
    <w:rPr>
      <w:rFonts w:ascii="Times New Roman" w:hAnsi="Times New Roman"/>
      <w:smallCaps/>
      <w:spacing w:val="80"/>
      <w:sz w:val="28"/>
    </w:rPr>
  </w:style>
  <w:style w:type="paragraph" w:customStyle="1" w:styleId="InChapter">
    <w:name w:val="InChapter"/>
    <w:basedOn w:val="Heading3"/>
    <w:rsid w:val="001004D6"/>
    <w:pPr>
      <w:spacing w:after="240"/>
      <w:outlineLvl w:val="9"/>
    </w:pPr>
    <w:rPr>
      <w:noProof/>
    </w:rPr>
  </w:style>
  <w:style w:type="paragraph" w:styleId="Index2">
    <w:name w:val="index 2"/>
    <w:basedOn w:val="Normal"/>
    <w:next w:val="Normal"/>
    <w:semiHidden/>
    <w:rsid w:val="001004D6"/>
    <w:pPr>
      <w:tabs>
        <w:tab w:val="right" w:pos="4176"/>
      </w:tabs>
      <w:ind w:left="568" w:hanging="284"/>
    </w:pPr>
    <w:rPr>
      <w:rFonts w:ascii="Garamond" w:hAnsi="Garamond"/>
    </w:rPr>
  </w:style>
  <w:style w:type="paragraph" w:customStyle="1" w:styleId="Byline">
    <w:name w:val="Byline"/>
    <w:rsid w:val="001004D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004D6"/>
    <w:pPr>
      <w:tabs>
        <w:tab w:val="clear" w:pos="3600"/>
        <w:tab w:val="clear" w:pos="3958"/>
      </w:tabs>
      <w:jc w:val="right"/>
    </w:pPr>
  </w:style>
  <w:style w:type="character" w:styleId="Emphasis">
    <w:name w:val="Emphasis"/>
    <w:basedOn w:val="DefaultParagraphFont"/>
    <w:qFormat/>
    <w:rsid w:val="001004D6"/>
    <w:rPr>
      <w:i/>
    </w:rPr>
  </w:style>
  <w:style w:type="paragraph" w:styleId="Caption">
    <w:name w:val="caption"/>
    <w:basedOn w:val="BodyText"/>
    <w:next w:val="Normal"/>
    <w:qFormat/>
    <w:rsid w:val="001004D6"/>
    <w:pPr>
      <w:framePr w:w="2268" w:hSpace="181" w:vSpace="181" w:wrap="around" w:vAnchor="text" w:hAnchor="page" w:x="1135" w:y="285" w:anchorLock="1"/>
    </w:pPr>
    <w:rPr>
      <w:i/>
    </w:rPr>
  </w:style>
  <w:style w:type="paragraph" w:customStyle="1" w:styleId="MiniTOCTitle">
    <w:name w:val="MiniTOCTitle"/>
    <w:basedOn w:val="Heading4"/>
    <w:rsid w:val="001004D6"/>
    <w:pPr>
      <w:spacing w:before="240"/>
      <w:outlineLvl w:val="9"/>
    </w:pPr>
    <w:rPr>
      <w:noProof/>
      <w:sz w:val="24"/>
    </w:rPr>
  </w:style>
  <w:style w:type="paragraph" w:customStyle="1" w:styleId="MiniTOCItem">
    <w:name w:val="MiniTOCItem"/>
    <w:basedOn w:val="ListBullet"/>
    <w:rsid w:val="001004D6"/>
    <w:pPr>
      <w:numPr>
        <w:numId w:val="0"/>
      </w:numPr>
      <w:tabs>
        <w:tab w:val="right" w:leader="dot" w:pos="6521"/>
      </w:tabs>
      <w:spacing w:before="0" w:after="0"/>
    </w:pPr>
  </w:style>
  <w:style w:type="paragraph" w:customStyle="1" w:styleId="TOFTitle">
    <w:name w:val="TOFTitle"/>
    <w:basedOn w:val="TOCTitle"/>
    <w:rsid w:val="001004D6"/>
  </w:style>
  <w:style w:type="paragraph" w:styleId="TableofFigures">
    <w:name w:val="table of figures"/>
    <w:basedOn w:val="Normal"/>
    <w:next w:val="Normal"/>
    <w:semiHidden/>
    <w:rsid w:val="001004D6"/>
    <w:pPr>
      <w:tabs>
        <w:tab w:val="right" w:leader="dot" w:pos="9072"/>
      </w:tabs>
      <w:ind w:left="970" w:hanging="403"/>
    </w:pPr>
    <w:rPr>
      <w:rFonts w:ascii="Times New Roman" w:hAnsi="Times New Roman"/>
      <w:b/>
    </w:rPr>
  </w:style>
  <w:style w:type="paragraph" w:styleId="ListNumber">
    <w:name w:val="List Number"/>
    <w:basedOn w:val="List"/>
    <w:rsid w:val="001004D6"/>
    <w:pPr>
      <w:numPr>
        <w:numId w:val="13"/>
      </w:numPr>
      <w:tabs>
        <w:tab w:val="clear" w:pos="340"/>
      </w:tabs>
    </w:pPr>
  </w:style>
  <w:style w:type="character" w:customStyle="1" w:styleId="WingdingSymbols">
    <w:name w:val="Wingding Symbols"/>
    <w:rsid w:val="001004D6"/>
    <w:rPr>
      <w:rFonts w:ascii="Wingdings" w:hAnsi="Wingdings"/>
    </w:rPr>
  </w:style>
  <w:style w:type="paragraph" w:customStyle="1" w:styleId="TableHeading">
    <w:name w:val="Table Heading"/>
    <w:basedOn w:val="HeadingBase"/>
    <w:rsid w:val="001004D6"/>
    <w:pPr>
      <w:keepLines/>
      <w:pBdr>
        <w:bottom w:val="single" w:sz="6" w:space="1" w:color="918585"/>
      </w:pBdr>
      <w:spacing w:before="240"/>
    </w:pPr>
  </w:style>
  <w:style w:type="character" w:customStyle="1" w:styleId="HotSpot">
    <w:name w:val="HotSpot"/>
    <w:rsid w:val="001004D6"/>
    <w:rPr>
      <w:color w:val="0033CC"/>
      <w:u w:val="none"/>
    </w:rPr>
  </w:style>
  <w:style w:type="paragraph" w:customStyle="1" w:styleId="BodyTextRight">
    <w:name w:val="Body Text Right"/>
    <w:basedOn w:val="BodyText"/>
    <w:rsid w:val="001004D6"/>
    <w:pPr>
      <w:spacing w:before="0" w:after="0"/>
      <w:jc w:val="right"/>
    </w:pPr>
  </w:style>
  <w:style w:type="paragraph" w:styleId="Index3">
    <w:name w:val="index 3"/>
    <w:basedOn w:val="ListNumber2"/>
    <w:next w:val="Normal"/>
    <w:semiHidden/>
    <w:rsid w:val="001004D6"/>
    <w:pPr>
      <w:numPr>
        <w:numId w:val="0"/>
      </w:numPr>
      <w:tabs>
        <w:tab w:val="right" w:leader="dot" w:pos="4176"/>
      </w:tabs>
    </w:pPr>
  </w:style>
  <w:style w:type="paragraph" w:styleId="ListNumber2">
    <w:name w:val="List Number 2"/>
    <w:basedOn w:val="List2"/>
    <w:rsid w:val="001004D6"/>
    <w:pPr>
      <w:numPr>
        <w:numId w:val="8"/>
      </w:numPr>
      <w:tabs>
        <w:tab w:val="clear" w:pos="1060"/>
      </w:tabs>
    </w:pPr>
  </w:style>
  <w:style w:type="paragraph" w:customStyle="1" w:styleId="MarginNote">
    <w:name w:val="Margin Note"/>
    <w:basedOn w:val="BodyText"/>
    <w:rsid w:val="001004D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004D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004D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004D6"/>
    <w:rPr>
      <w:sz w:val="32"/>
    </w:rPr>
  </w:style>
  <w:style w:type="paragraph" w:customStyle="1" w:styleId="HeadingProcedure">
    <w:name w:val="Heading Procedure"/>
    <w:basedOn w:val="HeadingBase"/>
    <w:next w:val="Normal"/>
    <w:rsid w:val="001004D6"/>
    <w:pPr>
      <w:tabs>
        <w:tab w:val="left" w:pos="0"/>
      </w:tabs>
      <w:spacing w:before="120" w:after="60"/>
    </w:pPr>
    <w:rPr>
      <w:i/>
      <w:color w:val="918585"/>
      <w:sz w:val="22"/>
    </w:rPr>
  </w:style>
  <w:style w:type="paragraph" w:customStyle="1" w:styleId="TableBodyText">
    <w:name w:val="Table Body Text"/>
    <w:basedOn w:val="BodyText"/>
    <w:rsid w:val="001004D6"/>
    <w:pPr>
      <w:spacing w:before="60" w:after="60"/>
    </w:pPr>
  </w:style>
  <w:style w:type="paragraph" w:styleId="ListContinue">
    <w:name w:val="List Continue"/>
    <w:basedOn w:val="List"/>
    <w:rsid w:val="001004D6"/>
    <w:pPr>
      <w:ind w:firstLine="0"/>
    </w:pPr>
  </w:style>
  <w:style w:type="paragraph" w:customStyle="1" w:styleId="ListNote">
    <w:name w:val="List Note"/>
    <w:basedOn w:val="List"/>
    <w:rsid w:val="001004D6"/>
    <w:pPr>
      <w:pBdr>
        <w:top w:val="single" w:sz="6" w:space="2" w:color="918585"/>
        <w:bottom w:val="single" w:sz="6" w:space="2" w:color="918585"/>
      </w:pBdr>
      <w:tabs>
        <w:tab w:val="left" w:pos="1021"/>
      </w:tabs>
      <w:ind w:firstLine="0"/>
    </w:pPr>
  </w:style>
  <w:style w:type="paragraph" w:customStyle="1" w:styleId="Warning">
    <w:name w:val="Warning"/>
    <w:basedOn w:val="BodyText"/>
    <w:rsid w:val="001004D6"/>
    <w:pPr>
      <w:shd w:val="clear" w:color="auto" w:fill="D9D9D9"/>
      <w:tabs>
        <w:tab w:val="left" w:pos="992"/>
      </w:tabs>
      <w:ind w:left="119" w:right="119"/>
    </w:pPr>
    <w:rPr>
      <w:sz w:val="20"/>
    </w:rPr>
  </w:style>
  <w:style w:type="paragraph" w:customStyle="1" w:styleId="MarginIcons">
    <w:name w:val="Margin Icons"/>
    <w:basedOn w:val="BodyText"/>
    <w:rsid w:val="001004D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004D6"/>
    <w:rPr>
      <w:rFonts w:ascii="Courier New" w:hAnsi="Courier New"/>
    </w:rPr>
  </w:style>
  <w:style w:type="paragraph" w:customStyle="1" w:styleId="NoteBullet">
    <w:name w:val="Note Bullet"/>
    <w:basedOn w:val="Note"/>
    <w:rsid w:val="001004D6"/>
    <w:pPr>
      <w:tabs>
        <w:tab w:val="clear" w:pos="680"/>
      </w:tabs>
      <w:spacing w:before="60" w:after="60"/>
    </w:pPr>
  </w:style>
  <w:style w:type="paragraph" w:customStyle="1" w:styleId="SubHeading2">
    <w:name w:val="SubHeading2"/>
    <w:basedOn w:val="HeadingBase"/>
    <w:rsid w:val="001004D6"/>
    <w:pPr>
      <w:spacing w:before="240" w:after="60"/>
    </w:pPr>
    <w:rPr>
      <w:sz w:val="20"/>
    </w:rPr>
  </w:style>
  <w:style w:type="paragraph" w:customStyle="1" w:styleId="SubHeading1">
    <w:name w:val="SubHeading1"/>
    <w:basedOn w:val="HeadingBase"/>
    <w:rsid w:val="001004D6"/>
    <w:pPr>
      <w:spacing w:before="240" w:after="60"/>
    </w:pPr>
    <w:rPr>
      <w:color w:val="918585"/>
      <w:sz w:val="22"/>
    </w:rPr>
  </w:style>
  <w:style w:type="paragraph" w:customStyle="1" w:styleId="SideHeading">
    <w:name w:val="Side Heading"/>
    <w:basedOn w:val="HeadingBase"/>
    <w:rsid w:val="001004D6"/>
    <w:pPr>
      <w:framePr w:w="2268" w:h="567" w:hSpace="181" w:vSpace="181" w:wrap="around" w:vAnchor="text" w:hAnchor="page" w:x="1419" w:y="370" w:anchorLock="1"/>
    </w:pPr>
    <w:rPr>
      <w:sz w:val="22"/>
    </w:rPr>
  </w:style>
  <w:style w:type="paragraph" w:customStyle="1" w:styleId="TableListBullet">
    <w:name w:val="Table List Bullet"/>
    <w:basedOn w:val="ListBullet"/>
    <w:rsid w:val="001004D6"/>
    <w:pPr>
      <w:numPr>
        <w:numId w:val="9"/>
      </w:numPr>
    </w:pPr>
  </w:style>
  <w:style w:type="paragraph" w:styleId="PlainText">
    <w:name w:val="Plain Text"/>
    <w:basedOn w:val="Normal"/>
    <w:link w:val="PlainTextChar"/>
    <w:rsid w:val="001004D6"/>
    <w:rPr>
      <w:sz w:val="20"/>
    </w:rPr>
  </w:style>
  <w:style w:type="character" w:customStyle="1" w:styleId="PlainTextChar">
    <w:name w:val="Plain Text Char"/>
    <w:basedOn w:val="DefaultParagraphFont"/>
    <w:link w:val="PlainText"/>
    <w:rsid w:val="001004D6"/>
    <w:rPr>
      <w:rFonts w:ascii="Courier New" w:eastAsia="Times New Roman" w:hAnsi="Courier New" w:cs="Times New Roman"/>
      <w:sz w:val="20"/>
      <w:szCs w:val="20"/>
      <w:lang w:eastAsia="en-US"/>
    </w:rPr>
  </w:style>
  <w:style w:type="character" w:customStyle="1" w:styleId="MenuOption">
    <w:name w:val="Menu Option"/>
    <w:basedOn w:val="DefaultParagraphFont"/>
    <w:rsid w:val="001004D6"/>
    <w:rPr>
      <w:b/>
      <w:smallCaps/>
    </w:rPr>
  </w:style>
  <w:style w:type="paragraph" w:customStyle="1" w:styleId="TableListNumber">
    <w:name w:val="Table List Number"/>
    <w:basedOn w:val="ListNumber"/>
    <w:rsid w:val="001004D6"/>
    <w:pPr>
      <w:numPr>
        <w:numId w:val="0"/>
      </w:numPr>
    </w:pPr>
  </w:style>
  <w:style w:type="paragraph" w:styleId="TOC4">
    <w:name w:val="toc 4"/>
    <w:basedOn w:val="TOCBase"/>
    <w:next w:val="Normal"/>
    <w:semiHidden/>
    <w:rsid w:val="001004D6"/>
    <w:pPr>
      <w:tabs>
        <w:tab w:val="right" w:leader="dot" w:pos="9071"/>
      </w:tabs>
      <w:ind w:left="1701"/>
    </w:pPr>
  </w:style>
  <w:style w:type="paragraph" w:customStyle="1" w:styleId="ListAlpha">
    <w:name w:val="List Alpha"/>
    <w:basedOn w:val="List"/>
    <w:rsid w:val="001004D6"/>
    <w:pPr>
      <w:numPr>
        <w:numId w:val="7"/>
      </w:numPr>
    </w:pPr>
  </w:style>
  <w:style w:type="paragraph" w:customStyle="1" w:styleId="ListAlpha2">
    <w:name w:val="List Alpha 2"/>
    <w:basedOn w:val="List2"/>
    <w:rsid w:val="001004D6"/>
    <w:pPr>
      <w:numPr>
        <w:numId w:val="6"/>
      </w:numPr>
    </w:pPr>
  </w:style>
  <w:style w:type="paragraph" w:styleId="List2">
    <w:name w:val="List 2"/>
    <w:basedOn w:val="BodyText"/>
    <w:rsid w:val="001004D6"/>
    <w:pPr>
      <w:tabs>
        <w:tab w:val="left" w:pos="680"/>
      </w:tabs>
      <w:spacing w:before="60" w:after="60"/>
      <w:ind w:left="680" w:hanging="340"/>
    </w:pPr>
  </w:style>
  <w:style w:type="paragraph" w:styleId="List3">
    <w:name w:val="List 3"/>
    <w:basedOn w:val="BodyText"/>
    <w:rsid w:val="001004D6"/>
    <w:pPr>
      <w:tabs>
        <w:tab w:val="left" w:pos="1021"/>
      </w:tabs>
      <w:spacing w:before="60" w:after="60"/>
      <w:ind w:left="1020" w:hanging="340"/>
    </w:pPr>
  </w:style>
  <w:style w:type="paragraph" w:styleId="List4">
    <w:name w:val="List 4"/>
    <w:basedOn w:val="BodyText"/>
    <w:rsid w:val="001004D6"/>
    <w:pPr>
      <w:tabs>
        <w:tab w:val="left" w:pos="1361"/>
      </w:tabs>
      <w:spacing w:before="60" w:after="60"/>
      <w:ind w:left="1361" w:hanging="340"/>
    </w:pPr>
  </w:style>
  <w:style w:type="paragraph" w:styleId="List5">
    <w:name w:val="List 5"/>
    <w:basedOn w:val="BodyText"/>
    <w:rsid w:val="001004D6"/>
    <w:pPr>
      <w:tabs>
        <w:tab w:val="left" w:pos="1701"/>
      </w:tabs>
      <w:spacing w:before="60" w:after="60"/>
      <w:ind w:left="1701" w:hanging="340"/>
    </w:pPr>
  </w:style>
  <w:style w:type="paragraph" w:styleId="ListBullet3">
    <w:name w:val="List Bullet 3"/>
    <w:basedOn w:val="List3"/>
    <w:rsid w:val="001004D6"/>
    <w:pPr>
      <w:numPr>
        <w:numId w:val="12"/>
      </w:numPr>
      <w:tabs>
        <w:tab w:val="clear" w:pos="1021"/>
      </w:tabs>
      <w:ind w:left="1037" w:hanging="357"/>
    </w:pPr>
  </w:style>
  <w:style w:type="paragraph" w:styleId="ListBullet4">
    <w:name w:val="List Bullet 4"/>
    <w:basedOn w:val="List4"/>
    <w:rsid w:val="001004D6"/>
    <w:pPr>
      <w:numPr>
        <w:numId w:val="1"/>
      </w:numPr>
      <w:tabs>
        <w:tab w:val="clear" w:pos="1361"/>
      </w:tabs>
    </w:pPr>
  </w:style>
  <w:style w:type="paragraph" w:styleId="ListBullet5">
    <w:name w:val="List Bullet 5"/>
    <w:basedOn w:val="List5"/>
    <w:rsid w:val="001004D6"/>
    <w:pPr>
      <w:numPr>
        <w:numId w:val="2"/>
      </w:numPr>
    </w:pPr>
  </w:style>
  <w:style w:type="paragraph" w:styleId="ListContinue2">
    <w:name w:val="List Continue 2"/>
    <w:basedOn w:val="List2"/>
    <w:rsid w:val="001004D6"/>
    <w:pPr>
      <w:ind w:firstLine="0"/>
    </w:pPr>
  </w:style>
  <w:style w:type="paragraph" w:styleId="ListContinue3">
    <w:name w:val="List Continue 3"/>
    <w:basedOn w:val="List3"/>
    <w:rsid w:val="001004D6"/>
    <w:pPr>
      <w:ind w:left="1021" w:firstLine="0"/>
    </w:pPr>
  </w:style>
  <w:style w:type="paragraph" w:styleId="ListContinue4">
    <w:name w:val="List Continue 4"/>
    <w:basedOn w:val="List4"/>
    <w:rsid w:val="001004D6"/>
    <w:pPr>
      <w:ind w:firstLine="0"/>
    </w:pPr>
  </w:style>
  <w:style w:type="paragraph" w:styleId="ListContinue5">
    <w:name w:val="List Continue 5"/>
    <w:basedOn w:val="List5"/>
    <w:rsid w:val="001004D6"/>
    <w:pPr>
      <w:ind w:firstLine="0"/>
    </w:pPr>
  </w:style>
  <w:style w:type="paragraph" w:styleId="ListNumber3">
    <w:name w:val="List Number 3"/>
    <w:basedOn w:val="List3"/>
    <w:rsid w:val="001004D6"/>
    <w:pPr>
      <w:numPr>
        <w:numId w:val="3"/>
      </w:numPr>
    </w:pPr>
  </w:style>
  <w:style w:type="paragraph" w:styleId="ListNumber4">
    <w:name w:val="List Number 4"/>
    <w:basedOn w:val="List4"/>
    <w:rsid w:val="001004D6"/>
    <w:pPr>
      <w:numPr>
        <w:numId w:val="4"/>
      </w:numPr>
    </w:pPr>
  </w:style>
  <w:style w:type="paragraph" w:styleId="ListNumber5">
    <w:name w:val="List Number 5"/>
    <w:basedOn w:val="List5"/>
    <w:rsid w:val="001004D6"/>
    <w:pPr>
      <w:numPr>
        <w:numId w:val="5"/>
      </w:numPr>
    </w:pPr>
  </w:style>
  <w:style w:type="paragraph" w:styleId="BlockText">
    <w:name w:val="Block Text"/>
    <w:basedOn w:val="Normal"/>
    <w:rsid w:val="001004D6"/>
    <w:pPr>
      <w:spacing w:after="120"/>
      <w:ind w:left="1440" w:right="1440"/>
    </w:pPr>
  </w:style>
  <w:style w:type="character" w:customStyle="1" w:styleId="Subscript">
    <w:name w:val="Subscript"/>
    <w:basedOn w:val="DefaultParagraphFont"/>
    <w:rsid w:val="001004D6"/>
    <w:rPr>
      <w:sz w:val="16"/>
      <w:vertAlign w:val="subscript"/>
    </w:rPr>
  </w:style>
  <w:style w:type="character" w:customStyle="1" w:styleId="Superscript">
    <w:name w:val="Superscript"/>
    <w:basedOn w:val="DefaultParagraphFont"/>
    <w:rsid w:val="001004D6"/>
    <w:rPr>
      <w:sz w:val="16"/>
      <w:vertAlign w:val="superscript"/>
    </w:rPr>
  </w:style>
  <w:style w:type="character" w:customStyle="1" w:styleId="Symbols">
    <w:name w:val="Symbols"/>
    <w:basedOn w:val="DefaultParagraphFont"/>
    <w:rsid w:val="001004D6"/>
    <w:rPr>
      <w:rFonts w:ascii="Symbol" w:hAnsi="Symbol"/>
    </w:rPr>
  </w:style>
  <w:style w:type="character" w:customStyle="1" w:styleId="MenuOptions">
    <w:name w:val="Menu Options"/>
    <w:basedOn w:val="DefaultParagraphFont"/>
    <w:rsid w:val="001004D6"/>
    <w:rPr>
      <w:rFonts w:ascii="Arial Narrow" w:hAnsi="Arial Narrow"/>
      <w:smallCaps/>
    </w:rPr>
  </w:style>
  <w:style w:type="character" w:customStyle="1" w:styleId="Buttons">
    <w:name w:val="Buttons"/>
    <w:basedOn w:val="DefaultParagraphFont"/>
    <w:rsid w:val="001004D6"/>
    <w:rPr>
      <w:b/>
    </w:rPr>
  </w:style>
  <w:style w:type="character" w:customStyle="1" w:styleId="Underlined">
    <w:name w:val="Underlined"/>
    <w:basedOn w:val="DefaultParagraphFont"/>
    <w:rsid w:val="001004D6"/>
    <w:rPr>
      <w:u w:val="single"/>
    </w:rPr>
  </w:style>
  <w:style w:type="paragraph" w:customStyle="1" w:styleId="TableBodyTextRight">
    <w:name w:val="Table Body Text Right"/>
    <w:basedOn w:val="TableBodyText"/>
    <w:rsid w:val="001004D6"/>
    <w:pPr>
      <w:widowControl w:val="0"/>
      <w:autoSpaceDE w:val="0"/>
      <w:autoSpaceDN w:val="0"/>
      <w:adjustRightInd w:val="0"/>
      <w:jc w:val="right"/>
    </w:pPr>
    <w:rPr>
      <w:rFonts w:cs="Arial"/>
      <w:szCs w:val="18"/>
    </w:rPr>
  </w:style>
  <w:style w:type="paragraph" w:customStyle="1" w:styleId="CopyrightText">
    <w:name w:val="Copyright Text"/>
    <w:basedOn w:val="BodyText"/>
    <w:rsid w:val="001004D6"/>
    <w:rPr>
      <w:sz w:val="18"/>
    </w:rPr>
  </w:style>
  <w:style w:type="paragraph" w:customStyle="1" w:styleId="BodySmallRight">
    <w:name w:val="Body Small Right"/>
    <w:basedOn w:val="BodyTextRight"/>
    <w:rsid w:val="001004D6"/>
    <w:rPr>
      <w:sz w:val="18"/>
      <w:szCs w:val="18"/>
    </w:rPr>
  </w:style>
  <w:style w:type="paragraph" w:customStyle="1" w:styleId="MarginEdition">
    <w:name w:val="Margin Edition"/>
    <w:basedOn w:val="MarginNote"/>
    <w:rsid w:val="001004D6"/>
    <w:pPr>
      <w:spacing w:before="0" w:after="0"/>
    </w:pPr>
    <w:rPr>
      <w:rFonts w:ascii="Times New Roman" w:hAnsi="Times New Roman"/>
      <w:color w:val="999999"/>
    </w:rPr>
  </w:style>
  <w:style w:type="paragraph" w:customStyle="1" w:styleId="Spacer">
    <w:name w:val="Spacer"/>
    <w:basedOn w:val="Normal"/>
    <w:rsid w:val="001004D6"/>
    <w:rPr>
      <w:sz w:val="2"/>
      <w:szCs w:val="2"/>
    </w:rPr>
  </w:style>
  <w:style w:type="character" w:customStyle="1" w:styleId="Small">
    <w:name w:val="Small"/>
    <w:basedOn w:val="DefaultParagraphFont"/>
    <w:rsid w:val="001004D6"/>
    <w:rPr>
      <w:sz w:val="16"/>
    </w:rPr>
  </w:style>
  <w:style w:type="paragraph" w:customStyle="1" w:styleId="WideTable">
    <w:name w:val="Wide Table"/>
    <w:basedOn w:val="Normal"/>
    <w:rsid w:val="001004D6"/>
    <w:pPr>
      <w:ind w:left="-1418"/>
    </w:pPr>
    <w:rPr>
      <w:sz w:val="2"/>
      <w:szCs w:val="2"/>
    </w:rPr>
  </w:style>
  <w:style w:type="character" w:styleId="PageNumber">
    <w:name w:val="page number"/>
    <w:basedOn w:val="DefaultParagraphFont"/>
    <w:rsid w:val="001004D6"/>
  </w:style>
  <w:style w:type="paragraph" w:styleId="Quote">
    <w:name w:val="Quote"/>
    <w:basedOn w:val="Heading1"/>
    <w:link w:val="QuoteChar"/>
    <w:qFormat/>
    <w:rsid w:val="001004D6"/>
    <w:rPr>
      <w:b w:val="0"/>
      <w:sz w:val="72"/>
      <w:szCs w:val="72"/>
      <w:lang w:val="en-NZ"/>
    </w:rPr>
  </w:style>
  <w:style w:type="character" w:customStyle="1" w:styleId="QuoteChar">
    <w:name w:val="Quote Char"/>
    <w:basedOn w:val="DefaultParagraphFont"/>
    <w:link w:val="Quote"/>
    <w:rsid w:val="001004D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004D6"/>
    <w:pPr>
      <w:pageBreakBefore/>
    </w:pPr>
  </w:style>
  <w:style w:type="paragraph" w:customStyle="1" w:styleId="Border">
    <w:name w:val="Border"/>
    <w:basedOn w:val="Normal"/>
    <w:qFormat/>
    <w:rsid w:val="001004D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004D6"/>
    <w:rPr>
      <w:b/>
      <w:bCs/>
      <w:i/>
      <w:iCs/>
      <w:color w:val="auto"/>
    </w:rPr>
  </w:style>
  <w:style w:type="paragraph" w:styleId="IntenseQuote">
    <w:name w:val="Intense Quote"/>
    <w:basedOn w:val="Normal"/>
    <w:next w:val="Normal"/>
    <w:link w:val="IntenseQuoteChar"/>
    <w:uiPriority w:val="30"/>
    <w:qFormat/>
    <w:rsid w:val="001004D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004D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004D6"/>
    <w:rPr>
      <w:smallCaps/>
      <w:color w:val="auto"/>
      <w:u w:val="single"/>
    </w:rPr>
  </w:style>
  <w:style w:type="character" w:styleId="IntenseReference">
    <w:name w:val="Intense Reference"/>
    <w:basedOn w:val="DefaultParagraphFont"/>
    <w:uiPriority w:val="32"/>
    <w:qFormat/>
    <w:rsid w:val="001004D6"/>
    <w:rPr>
      <w:b/>
      <w:bCs/>
      <w:smallCaps/>
      <w:color w:val="auto"/>
      <w:spacing w:val="5"/>
      <w:u w:val="single"/>
    </w:rPr>
  </w:style>
  <w:style w:type="paragraph" w:customStyle="1" w:styleId="2ColumnHeading">
    <w:name w:val="2Column Heading"/>
    <w:basedOn w:val="BodyText"/>
    <w:qFormat/>
    <w:rsid w:val="001004D6"/>
    <w:pPr>
      <w:spacing w:after="60"/>
      <w:ind w:left="-2268"/>
    </w:pPr>
    <w:rPr>
      <w:b/>
    </w:rPr>
  </w:style>
  <w:style w:type="paragraph" w:customStyle="1" w:styleId="Heading1TOC">
    <w:name w:val="Heading1 TOC"/>
    <w:basedOn w:val="Normal"/>
    <w:qFormat/>
    <w:rsid w:val="001004D6"/>
    <w:pPr>
      <w:spacing w:before="240" w:after="120"/>
    </w:pPr>
    <w:rPr>
      <w:rFonts w:ascii="Times New Roman" w:hAnsi="Times New Roman"/>
      <w:b/>
      <w:sz w:val="32"/>
    </w:rPr>
  </w:style>
  <w:style w:type="paragraph" w:customStyle="1" w:styleId="Heading2TOC">
    <w:name w:val="Heading2 TOC"/>
    <w:basedOn w:val="Normal"/>
    <w:qFormat/>
    <w:rsid w:val="001004D6"/>
    <w:pPr>
      <w:spacing w:before="240" w:after="60"/>
    </w:pPr>
    <w:rPr>
      <w:rFonts w:ascii="Times New Roman" w:hAnsi="Times New Roman"/>
      <w:b/>
      <w:sz w:val="28"/>
    </w:rPr>
  </w:style>
  <w:style w:type="character" w:customStyle="1" w:styleId="Underline">
    <w:name w:val="Underline"/>
    <w:basedOn w:val="DefaultParagraphFont"/>
    <w:qFormat/>
    <w:rsid w:val="001004D6"/>
    <w:rPr>
      <w:u w:val="single"/>
    </w:rPr>
  </w:style>
  <w:style w:type="character" w:customStyle="1" w:styleId="BoldandItalics">
    <w:name w:val="Bold and Italics"/>
    <w:qFormat/>
    <w:rsid w:val="001004D6"/>
    <w:rPr>
      <w:b/>
      <w:i/>
      <w:u w:val="none"/>
    </w:rPr>
  </w:style>
  <w:style w:type="paragraph" w:styleId="BalloonText">
    <w:name w:val="Balloon Text"/>
    <w:basedOn w:val="Normal"/>
    <w:link w:val="BalloonTextChar"/>
    <w:rsid w:val="001004D6"/>
    <w:rPr>
      <w:rFonts w:ascii="Tahoma" w:hAnsi="Tahoma" w:cs="Tahoma"/>
      <w:sz w:val="16"/>
      <w:szCs w:val="16"/>
    </w:rPr>
  </w:style>
  <w:style w:type="character" w:customStyle="1" w:styleId="BalloonTextChar">
    <w:name w:val="Balloon Text Char"/>
    <w:basedOn w:val="DefaultParagraphFont"/>
    <w:link w:val="BalloonText"/>
    <w:rsid w:val="001004D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004D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004D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004D6"/>
    <w:rPr>
      <w:b/>
      <w:color w:val="660033"/>
      <w:spacing w:val="0"/>
    </w:rPr>
  </w:style>
  <w:style w:type="paragraph" w:customStyle="1" w:styleId="Nameditemlist">
    <w:name w:val="Named item list"/>
    <w:basedOn w:val="BodyText"/>
    <w:qFormat/>
    <w:rsid w:val="001004D6"/>
    <w:pPr>
      <w:tabs>
        <w:tab w:val="left" w:pos="2835"/>
      </w:tabs>
      <w:ind w:left="2835" w:hanging="2835"/>
    </w:pPr>
  </w:style>
  <w:style w:type="paragraph" w:customStyle="1" w:styleId="BodyTextnopadding">
    <w:name w:val="Body Text no padding"/>
    <w:basedOn w:val="BodyText"/>
    <w:qFormat/>
    <w:rsid w:val="001004D6"/>
    <w:pPr>
      <w:spacing w:before="0" w:after="0"/>
    </w:pPr>
  </w:style>
  <w:style w:type="paragraph" w:customStyle="1" w:styleId="BodyTextBold">
    <w:name w:val="Body Text Bold"/>
    <w:basedOn w:val="BodyText"/>
    <w:qFormat/>
    <w:rsid w:val="001004D6"/>
    <w:rPr>
      <w:b/>
    </w:rPr>
  </w:style>
  <w:style w:type="character" w:styleId="Hyperlink">
    <w:name w:val="Hyperlink"/>
    <w:basedOn w:val="DefaultParagraphFont"/>
    <w:uiPriority w:val="99"/>
    <w:unhideWhenUsed/>
    <w:rsid w:val="00D23F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df441c6e-213d-43e3-874c-0b3f7036d85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589</Words>
  <Characters>3858</Characters>
  <Application>Microsoft Office Word</Application>
  <DocSecurity>0</DocSecurity>
  <Lines>175</Lines>
  <Paragraphs>85</Paragraphs>
  <ScaleCrop>false</ScaleCrop>
  <Company>Author-it Software Corporation Ltd.</Company>
  <LinksUpToDate>false</LinksUpToDate>
  <CharactersWithSpaces>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TLIX0018X Monitor compliance in digital supply chains</dc:title>
  <dc:subject>Approved</dc:subject>
  <dc:creator>Australian Industry Standards</dc:creator>
  <cp:keywords>Release: 1</cp:keywords>
  <dc:description>Review Date: 12 April 2008</dc:description>
  <cp:lastModifiedBy>HSD_TPCMSd.prod</cp:lastModifiedBy>
  <cp:revision>3</cp:revision>
  <dcterms:created xsi:type="dcterms:W3CDTF">2022-12-15T07:46:00Z</dcterms:created>
  <dcterms:modified xsi:type="dcterms:W3CDTF">2022-12-15T07:46:00Z</dcterms:modified>
</cp:coreProperties>
</file>