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86" w:rsidRDefault="00367186" w:rsidP="00367186">
      <w:pPr>
        <w:pStyle w:val="Title"/>
      </w:pPr>
      <w:fldSimple w:instr=" TITLE   \* MERGEFORMAT ">
        <w:r>
          <w:t>TLIS2004 Install and maintain rail bonding systems</w:t>
        </w:r>
      </w:fldSimple>
    </w:p>
    <w:p w:rsidR="00367186" w:rsidRDefault="00367186" w:rsidP="00367186">
      <w:pPr>
        <w:pStyle w:val="Version"/>
        <w:sectPr w:rsidR="00367186" w:rsidSect="00436A2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436A26" w:rsidRDefault="00367186" w:rsidP="00436A26">
      <w:pPr>
        <w:pStyle w:val="SuperHeading"/>
      </w:pPr>
      <w:r w:rsidRPr="00436A26">
        <w:lastRenderedPageBreak/>
        <w:t>TLIS2004 Install and maintain rail bonding systems</w:t>
      </w:r>
    </w:p>
    <w:p w:rsidR="00000000" w:rsidRPr="00436A26" w:rsidRDefault="00367186" w:rsidP="00436A26">
      <w:pPr>
        <w:pStyle w:val="Heading1"/>
      </w:pPr>
      <w:bookmarkStart w:id="1" w:name="O_1120467"/>
      <w:bookmarkEnd w:id="1"/>
      <w:r w:rsidRPr="00436A26">
        <w:t>Modification History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Release 2</w:t>
            </w:r>
            <w:r w:rsidRPr="00436A26">
              <w:t>. This is the second release of this unit of competency in the TLI Transport and Logistics Training Package:</w:t>
            </w:r>
          </w:p>
          <w:p w:rsidR="00000000" w:rsidRPr="00436A26" w:rsidRDefault="00367186" w:rsidP="00436A26">
            <w:pPr>
              <w:pStyle w:val="ListBullet"/>
            </w:pPr>
            <w:r w:rsidRPr="00436A26">
              <w:t>Minor statement clarification to PC 4.2</w:t>
            </w:r>
          </w:p>
          <w:p w:rsidR="00000000" w:rsidRDefault="00367186" w:rsidP="00436A26">
            <w:pPr>
              <w:pStyle w:val="ListBullet"/>
              <w:rPr>
                <w:lang w:val="en-NZ"/>
              </w:rPr>
            </w:pPr>
            <w:r w:rsidRPr="00436A26">
              <w:t>Minor statement changes in Assessment Conditions.</w:t>
            </w:r>
          </w:p>
        </w:tc>
      </w:tr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Release 1</w:t>
            </w:r>
            <w:r w:rsidRPr="00436A26">
              <w:t xml:space="preserve">. This </w:t>
            </w:r>
            <w:r w:rsidRPr="00436A26">
              <w:t>is the first release of this unit of competency in the TLI Transport and Logistics Training Package.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2" w:name="O_1120466"/>
      <w:bookmarkEnd w:id="2"/>
      <w:r w:rsidRPr="00436A26">
        <w:t>Application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This unit involves the skills and knowledge required to install and maintain all types of temporary and permanent bonds an</w:t>
            </w:r>
            <w:r w:rsidRPr="00436A26">
              <w:t>d bonding cables in use in the Australian rail system in accordance with safeworking and regulatory requirements, and workplace procedures.</w:t>
            </w:r>
          </w:p>
          <w:p w:rsidR="00000000" w:rsidRPr="00436A26" w:rsidRDefault="00367186" w:rsidP="00436A26">
            <w:pPr>
              <w:pStyle w:val="BodyText"/>
            </w:pPr>
            <w:r w:rsidRPr="00436A26">
              <w:t>This includes planning the installation and maintenance, preparing the worksite, installing and maintaining the bond</w:t>
            </w:r>
            <w:r w:rsidRPr="00436A26">
              <w:t>s and bonding cables, and conducting all required post-installation activities as a non-electrical rail safety worker.</w:t>
            </w:r>
          </w:p>
          <w:p w:rsidR="00000000" w:rsidRPr="00436A26" w:rsidRDefault="00367186" w:rsidP="00436A26">
            <w:pPr>
              <w:pStyle w:val="BodyText"/>
            </w:pPr>
            <w:r w:rsidRPr="00436A26">
              <w:t>Work is performed under some supervision, generally within a team environment.</w:t>
            </w:r>
          </w:p>
          <w:p w:rsidR="00000000" w:rsidRPr="00436A26" w:rsidRDefault="00367186" w:rsidP="00436A26">
            <w:pPr>
              <w:pStyle w:val="BodyText"/>
            </w:pPr>
            <w:r w:rsidRPr="00436A26">
              <w:t>Rail bonding systems involve the application of routine op</w:t>
            </w:r>
            <w:r w:rsidRPr="00436A26">
              <w:t>erational principles and procedures when fixing cable across a break or joint in one rail, or between two rails to provide a path for traction return current or track-circuits, as part of workplace activities across a variety of operational contexts within</w:t>
            </w:r>
            <w:r w:rsidRPr="00436A26">
              <w:t xml:space="preserve"> the Australian rail system.</w:t>
            </w:r>
          </w:p>
          <w:p w:rsidR="00000000" w:rsidRPr="00436A26" w:rsidRDefault="00367186" w:rsidP="00436A26">
            <w:pPr>
              <w:pStyle w:val="BodyText"/>
            </w:pPr>
            <w:r w:rsidRPr="00436A26">
              <w:t>People achieving competence in this unit will need to fulfil the applicable state/territory legislated rail safety requirements and to comply with relevant codes of practice, rail industry standards and/or guidelines.</w:t>
            </w:r>
          </w:p>
          <w:p w:rsidR="00000000" w:rsidRPr="00436A26" w:rsidRDefault="00367186" w:rsidP="00436A26">
            <w:pPr>
              <w:pStyle w:val="BodyText"/>
            </w:pPr>
            <w:r w:rsidRPr="00436A26">
              <w:t>Operators of mechanised equipment must have undertaken training and, where appropriate, hold the relevant licence, permit or certificate and be recognised as competent for the class of machinery being used.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3" w:name="O_1120465"/>
      <w:bookmarkEnd w:id="3"/>
      <w:r w:rsidRPr="00436A26">
        <w:t>Pre-requisite Unit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Not appli</w:t>
            </w:r>
            <w:r w:rsidRPr="00436A26">
              <w:t>cable.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4" w:name="O_1120464"/>
      <w:bookmarkEnd w:id="4"/>
      <w:r w:rsidRPr="00436A26">
        <w:t>Competency Field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S ‒ Construction and Installation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5" w:name="O_1120463"/>
      <w:bookmarkEnd w:id="5"/>
      <w:r w:rsidRPr="00436A26">
        <w:lastRenderedPageBreak/>
        <w:t>Unit Sector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Rail sector.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6" w:name="O_1120462"/>
      <w:bookmarkEnd w:id="6"/>
      <w:r w:rsidRPr="00436A26">
        <w:t>Elements and Performance Criteria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64"/>
        <w:gridCol w:w="2744"/>
        <w:gridCol w:w="697"/>
        <w:gridCol w:w="5592"/>
      </w:tblGrid>
      <w:tr w:rsidR="00436A26" w:rsidTr="00436A26"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ELEMENTS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PERFORMANCE CRITERIA</w:t>
            </w:r>
          </w:p>
        </w:tc>
      </w:tr>
      <w:tr w:rsidR="00436A26" w:rsidRPr="00436A26" w:rsidTr="00436A26">
        <w:tc>
          <w:tcPr>
            <w:tcW w:w="320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Elements describe the essential outcomes.</w:t>
            </w:r>
          </w:p>
        </w:tc>
        <w:tc>
          <w:tcPr>
            <w:tcW w:w="628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Performance criteria describe the performance needed to demonstrate achievement of the element.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 xml:space="preserve">1 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Plan the installation and maintenance of the relevant bonding systems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1.1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Work order, including drawings, plans and material lists, is received/accessed, a</w:t>
            </w:r>
            <w:r w:rsidRPr="00436A26">
              <w:t>nalysed and confirmed as required by site inspection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1.2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Work is assessed and prioritised in accordance with works scheduled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1.3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Site relevant electrical permits are accessed and/or obtained as required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1.4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Hazards are identified, risks are assessed and control measures are implemented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1.5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Resources, including personnel, plant, equipment and tools are identified and scheduled</w:t>
            </w:r>
          </w:p>
        </w:tc>
      </w:tr>
      <w:tr w:rsidR="00000000" w:rsidRPr="00436A26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1.6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Liaison and communication issues with other personnel, authorities, client</w:t>
            </w:r>
            <w:r w:rsidRPr="00436A26">
              <w:t>s and landowners are resolved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2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Prepare the worksite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2.1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Personnel participating in the task, including plant operators and contractors, are fully briefed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2.2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Site preparation is completed in accordance with works order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2.3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Specialist testing and earth equipment is inspected as required and replaced if defective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2.4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Road signs, barriers and warning devices are positioned as required</w:t>
            </w:r>
          </w:p>
        </w:tc>
      </w:tr>
      <w:tr w:rsidR="00000000" w:rsidRPr="00436A26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2.5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Safeworking practices are observed on or about the running track/line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3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Install and maintain bonding system cables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3.1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Systems and circuits are isolated as required, proved safe to work on in accordance with work plan and electrical permits are issued/accepted/relinquished as required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3.2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Cable and surrounds, including rail</w:t>
            </w:r>
            <w:r w:rsidRPr="00436A26">
              <w:t xml:space="preserve"> and other surfaces, are prepared to appropriate specifications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3.3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Bonds are attached in accordance with specifications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3.4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Joint and termination procedures are carried out in accordance with authorised work procedures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3.5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Continuity testing procedures are carried out as required</w:t>
            </w:r>
          </w:p>
        </w:tc>
      </w:tr>
      <w:tr w:rsidR="00000000" w:rsidRPr="00436A26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3.6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System is commissioned following visual inspection and the completion of other testing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4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rPr>
                <w:rStyle w:val="SpecialBold"/>
              </w:rPr>
              <w:t>Conduct post-operational activities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4.1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Worksite is rehabilitated in accordance with workplace proced</w:t>
            </w:r>
            <w:r w:rsidRPr="00436A26">
              <w:t>ures</w:t>
            </w:r>
          </w:p>
        </w:tc>
      </w:tr>
      <w:tr w:rsidR="00000000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4.2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t>Work is completed in accordance with work plan</w:t>
            </w:r>
          </w:p>
        </w:tc>
      </w:tr>
      <w:tr w:rsidR="00000000" w:rsidRPr="00436A26" w:rsidTr="00436A26"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>
            <w:pPr>
              <w:pStyle w:val="BodyText"/>
              <w:keepLines w:val="0"/>
              <w:rPr>
                <w:rFonts w:ascii="Tahoma" w:hAnsi="Tahoma"/>
                <w:sz w:val="20"/>
                <w:lang w:val="en-NZ"/>
              </w:rPr>
            </w:pP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>
            <w:pPr>
              <w:pStyle w:val="BodyText"/>
              <w:keepLines w:val="0"/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367186" w:rsidP="00436A26">
            <w:pPr>
              <w:pStyle w:val="BodyText"/>
              <w:rPr>
                <w:lang w:val="en-NZ"/>
              </w:rPr>
            </w:pPr>
            <w:r w:rsidRPr="00436A26">
              <w:rPr>
                <w:rStyle w:val="SpecialBold"/>
              </w:rPr>
              <w:t>4.3</w: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Notifications, records and documentation for updating system data are completed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7" w:name="O_1120461"/>
      <w:bookmarkEnd w:id="7"/>
      <w:r w:rsidRPr="00436A26">
        <w:t>Foundation Skills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Foundation skills essential to performance are explicit in the performance criteria of this unit of competency.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8" w:name="O_1120460"/>
      <w:bookmarkEnd w:id="8"/>
      <w:r w:rsidRPr="00436A26">
        <w:t>Range of Conditions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Range is restricted to essential operating conditions and any other variables essential to the work env</w:t>
            </w:r>
            <w:r w:rsidRPr="00436A26">
              <w:t>ironment.</w:t>
            </w:r>
          </w:p>
          <w:p w:rsidR="00000000" w:rsidRPr="00436A26" w:rsidRDefault="00367186" w:rsidP="00436A26">
            <w:pPr>
              <w:pStyle w:val="BodyText"/>
            </w:pPr>
            <w:r w:rsidRPr="00436A26">
              <w:t>Non-essential conditions can be found in the TLI Transport and Logistics Training Package Companion Volume Implementation Guide.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9" w:name="O_1120459"/>
      <w:bookmarkEnd w:id="9"/>
      <w:r w:rsidRPr="00436A26">
        <w:t>Unit Mapping Information</w:t>
      </w:r>
    </w:p>
    <w:tbl>
      <w:tblPr>
        <w:tblW w:w="949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497"/>
      </w:tblGrid>
      <w:tr w:rsidR="00000000" w:rsidRPr="00436A26" w:rsidTr="00436A26">
        <w:tc>
          <w:tcPr>
            <w:tcW w:w="949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36A26" w:rsidRDefault="00367186" w:rsidP="00436A26">
            <w:pPr>
              <w:pStyle w:val="BodyText"/>
            </w:pPr>
            <w:r w:rsidRPr="00436A26">
              <w:t>This unit replaces and is equivalent to TLIS2004A Install and maintain rail bonding systems.</w:t>
            </w:r>
          </w:p>
        </w:tc>
      </w:tr>
    </w:tbl>
    <w:p w:rsidR="00000000" w:rsidRPr="00436A26" w:rsidRDefault="00367186" w:rsidP="00436A26">
      <w:pPr>
        <w:pStyle w:val="NoPaddingFontSize1"/>
      </w:pPr>
    </w:p>
    <w:p w:rsidR="00000000" w:rsidRPr="00436A26" w:rsidRDefault="00367186" w:rsidP="00436A26">
      <w:pPr>
        <w:pStyle w:val="AllowPageBreak"/>
      </w:pPr>
    </w:p>
    <w:p w:rsidR="00000000" w:rsidRPr="00436A26" w:rsidRDefault="00367186" w:rsidP="00436A26">
      <w:pPr>
        <w:pStyle w:val="Heading1"/>
      </w:pPr>
      <w:bookmarkStart w:id="10" w:name="O_1120468"/>
      <w:bookmarkEnd w:id="10"/>
      <w:r w:rsidRPr="00436A26">
        <w:t>Links</w:t>
      </w:r>
    </w:p>
    <w:p w:rsidR="00000000" w:rsidRPr="00436A26" w:rsidRDefault="00367186" w:rsidP="00367186">
      <w:pPr>
        <w:pStyle w:val="BodyText"/>
      </w:pPr>
      <w:r w:rsidRPr="00436A26">
        <w:t xml:space="preserve">Companion Volume Implementation Guides are found in VETNet - </w:t>
      </w:r>
      <w:hyperlink r:id="rId13" w:history="1">
        <w:r w:rsidRPr="00B32F63">
          <w:rPr>
            <w:rStyle w:val="Hyperlink"/>
          </w:rPr>
          <w:t>https://vetnet.gov.au/Pages/TrainingDocs.aspx?q=df441c6e-213d-43e3-874c-0b3f7036d851</w:t>
        </w:r>
      </w:hyperlink>
    </w:p>
    <w:p w:rsidR="00000000" w:rsidRPr="00436A26" w:rsidRDefault="00367186" w:rsidP="00436A26"/>
    <w:sectPr w:rsidR="00000000" w:rsidRPr="00436A26" w:rsidSect="00436A26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26" w:rsidRDefault="00436A26" w:rsidP="00436A26">
      <w:r>
        <w:separator/>
      </w:r>
    </w:p>
  </w:endnote>
  <w:endnote w:type="continuationSeparator" w:id="0">
    <w:p w:rsidR="00436A26" w:rsidRDefault="00436A26" w:rsidP="00436A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26" w:rsidRDefault="00436A2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26" w:rsidRPr="00367186" w:rsidRDefault="00436A26" w:rsidP="0036718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26" w:rsidRDefault="00436A2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86" w:rsidRDefault="00367186" w:rsidP="00436A2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367186" w:rsidRDefault="00367186" w:rsidP="00436A2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Australian Industry Standards</w:t>
      </w:r>
    </w:fldSimple>
  </w:p>
  <w:p w:rsidR="00367186" w:rsidRDefault="00367186" w:rsidP="00436A2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26" w:rsidRDefault="00436A26" w:rsidP="00436A26">
      <w:r>
        <w:separator/>
      </w:r>
    </w:p>
  </w:footnote>
  <w:footnote w:type="continuationSeparator" w:id="0">
    <w:p w:rsidR="00436A26" w:rsidRDefault="00436A26" w:rsidP="00436A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26" w:rsidRDefault="00436A2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86" w:rsidRDefault="0036718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AFCC9D6" wp14:editId="2ED7F8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36A26" w:rsidRPr="00367186" w:rsidRDefault="00436A26" w:rsidP="0036718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A26" w:rsidRDefault="00436A2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86" w:rsidRPr="002D2AF8" w:rsidRDefault="00367186" w:rsidP="00436A26">
    <w:pPr>
      <w:pStyle w:val="Header"/>
      <w:framePr w:wrap="around"/>
    </w:pPr>
    <w:fldSimple w:instr=" TITLE   \* MERGEFORMAT ">
      <w:r>
        <w:t>TLIS2004 Install and maintain rail bonding systems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20 December 2022</w:t>
    </w:r>
    <w:r>
      <w:fldChar w:fldCharType="end"/>
    </w:r>
  </w:p>
  <w:p w:rsidR="00367186" w:rsidRDefault="00367186" w:rsidP="00436A2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025CD7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D03061EE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36A26"/>
    <w:rsid w:val="00367186"/>
    <w:rsid w:val="00436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A2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36A2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36A2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36A2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36A2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36A2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36A2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36A2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36A2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36A2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36A2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36A26"/>
  </w:style>
  <w:style w:type="character" w:customStyle="1" w:styleId="Heading1Char">
    <w:name w:val="Heading 1 Char"/>
    <w:basedOn w:val="DefaultParagraphFont"/>
    <w:link w:val="Heading1"/>
    <w:rsid w:val="00436A2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36A2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36A2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436A2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36A26"/>
    <w:rPr>
      <w:b/>
      <w:spacing w:val="0"/>
    </w:rPr>
  </w:style>
  <w:style w:type="paragraph" w:customStyle="1" w:styleId="SuperHeading">
    <w:name w:val="SuperHeading"/>
    <w:basedOn w:val="Normal"/>
    <w:rsid w:val="00436A2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36A2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NoPaddingFontSize1">
    <w:name w:val="No Padding Font Size 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"/>
      <w:szCs w:val="2"/>
      <w:vertAlign w:val="subscript"/>
    </w:rPr>
  </w:style>
  <w:style w:type="character" w:customStyle="1" w:styleId="Heading2Char">
    <w:name w:val="Heading 2 Char"/>
    <w:basedOn w:val="DefaultParagraphFont"/>
    <w:link w:val="Heading2"/>
    <w:rsid w:val="00436A2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36A2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36A2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36A2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36A2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36A2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36A2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36A2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36A2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36A2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36A2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36A2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36A2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36A2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36A2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36A2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36A2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36A2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436A2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436A2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36A2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36A2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36A2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36A2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36A2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36A2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36A2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36A2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36A2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36A2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36A2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36A2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36A2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36A26"/>
    <w:rPr>
      <w:i/>
    </w:rPr>
  </w:style>
  <w:style w:type="paragraph" w:styleId="Caption">
    <w:name w:val="caption"/>
    <w:basedOn w:val="BodyText"/>
    <w:next w:val="Normal"/>
    <w:qFormat/>
    <w:rsid w:val="00436A2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36A2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36A2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36A26"/>
  </w:style>
  <w:style w:type="paragraph" w:styleId="TableofFigures">
    <w:name w:val="table of figures"/>
    <w:basedOn w:val="Normal"/>
    <w:next w:val="Normal"/>
    <w:semiHidden/>
    <w:rsid w:val="00436A2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36A2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436A26"/>
    <w:rPr>
      <w:rFonts w:ascii="Wingdings" w:hAnsi="Wingdings"/>
    </w:rPr>
  </w:style>
  <w:style w:type="paragraph" w:customStyle="1" w:styleId="TableHeading">
    <w:name w:val="Table Heading"/>
    <w:basedOn w:val="HeadingBase"/>
    <w:rsid w:val="00436A2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36A26"/>
    <w:rPr>
      <w:color w:val="0033CC"/>
      <w:u w:val="none"/>
    </w:rPr>
  </w:style>
  <w:style w:type="paragraph" w:customStyle="1" w:styleId="BodyTextRight">
    <w:name w:val="Body Text Right"/>
    <w:basedOn w:val="BodyText"/>
    <w:rsid w:val="00436A2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36A2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36A2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36A2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36A2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36A2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36A26"/>
    <w:rPr>
      <w:sz w:val="32"/>
    </w:rPr>
  </w:style>
  <w:style w:type="paragraph" w:customStyle="1" w:styleId="HeadingProcedure">
    <w:name w:val="Heading Procedure"/>
    <w:basedOn w:val="HeadingBase"/>
    <w:next w:val="Normal"/>
    <w:rsid w:val="00436A2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36A26"/>
    <w:pPr>
      <w:spacing w:before="60" w:after="60"/>
    </w:pPr>
  </w:style>
  <w:style w:type="paragraph" w:styleId="ListContinue">
    <w:name w:val="List Continue"/>
    <w:basedOn w:val="List"/>
    <w:rsid w:val="00436A26"/>
    <w:pPr>
      <w:ind w:firstLine="0"/>
    </w:pPr>
  </w:style>
  <w:style w:type="paragraph" w:customStyle="1" w:styleId="ListNote">
    <w:name w:val="List Note"/>
    <w:basedOn w:val="List"/>
    <w:rsid w:val="00436A2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36A2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36A2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36A26"/>
    <w:rPr>
      <w:rFonts w:ascii="Courier New" w:hAnsi="Courier New"/>
    </w:rPr>
  </w:style>
  <w:style w:type="paragraph" w:customStyle="1" w:styleId="NoteBullet">
    <w:name w:val="Note Bullet"/>
    <w:basedOn w:val="Note"/>
    <w:rsid w:val="00436A2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36A2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36A2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36A2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36A2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436A2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36A2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36A26"/>
    <w:rPr>
      <w:b/>
      <w:smallCaps/>
    </w:rPr>
  </w:style>
  <w:style w:type="paragraph" w:customStyle="1" w:styleId="TableListNumber">
    <w:name w:val="Table List Number"/>
    <w:basedOn w:val="ListNumber"/>
    <w:rsid w:val="00436A2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36A2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36A26"/>
    <w:pPr>
      <w:numPr>
        <w:numId w:val="8"/>
      </w:numPr>
    </w:pPr>
  </w:style>
  <w:style w:type="paragraph" w:customStyle="1" w:styleId="ListAlpha2">
    <w:name w:val="List Alpha 2"/>
    <w:basedOn w:val="List2"/>
    <w:rsid w:val="00436A26"/>
    <w:pPr>
      <w:numPr>
        <w:numId w:val="7"/>
      </w:numPr>
    </w:pPr>
  </w:style>
  <w:style w:type="paragraph" w:styleId="List2">
    <w:name w:val="List 2"/>
    <w:basedOn w:val="BodyText"/>
    <w:rsid w:val="00436A2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36A2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36A2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36A2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36A2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36A2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436A26"/>
    <w:pPr>
      <w:numPr>
        <w:numId w:val="3"/>
      </w:numPr>
    </w:pPr>
  </w:style>
  <w:style w:type="paragraph" w:styleId="ListContinue2">
    <w:name w:val="List Continue 2"/>
    <w:basedOn w:val="List2"/>
    <w:rsid w:val="00436A26"/>
    <w:pPr>
      <w:ind w:firstLine="0"/>
    </w:pPr>
  </w:style>
  <w:style w:type="paragraph" w:styleId="ListContinue3">
    <w:name w:val="List Continue 3"/>
    <w:basedOn w:val="List3"/>
    <w:rsid w:val="00436A26"/>
    <w:pPr>
      <w:ind w:left="1021" w:firstLine="0"/>
    </w:pPr>
  </w:style>
  <w:style w:type="paragraph" w:styleId="ListContinue4">
    <w:name w:val="List Continue 4"/>
    <w:basedOn w:val="List4"/>
    <w:rsid w:val="00436A26"/>
    <w:pPr>
      <w:ind w:firstLine="0"/>
    </w:pPr>
  </w:style>
  <w:style w:type="paragraph" w:styleId="ListContinue5">
    <w:name w:val="List Continue 5"/>
    <w:basedOn w:val="List5"/>
    <w:rsid w:val="00436A26"/>
    <w:pPr>
      <w:ind w:firstLine="0"/>
    </w:pPr>
  </w:style>
  <w:style w:type="paragraph" w:styleId="ListNumber3">
    <w:name w:val="List Number 3"/>
    <w:basedOn w:val="List3"/>
    <w:rsid w:val="00436A26"/>
    <w:pPr>
      <w:numPr>
        <w:numId w:val="4"/>
      </w:numPr>
    </w:pPr>
  </w:style>
  <w:style w:type="paragraph" w:styleId="ListNumber4">
    <w:name w:val="List Number 4"/>
    <w:basedOn w:val="List4"/>
    <w:rsid w:val="00436A26"/>
    <w:pPr>
      <w:numPr>
        <w:numId w:val="5"/>
      </w:numPr>
    </w:pPr>
  </w:style>
  <w:style w:type="paragraph" w:styleId="ListNumber5">
    <w:name w:val="List Number 5"/>
    <w:basedOn w:val="List5"/>
    <w:rsid w:val="00436A26"/>
    <w:pPr>
      <w:numPr>
        <w:numId w:val="6"/>
      </w:numPr>
    </w:pPr>
  </w:style>
  <w:style w:type="paragraph" w:styleId="BlockText">
    <w:name w:val="Block Text"/>
    <w:basedOn w:val="Normal"/>
    <w:rsid w:val="00436A2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36A2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36A26"/>
    <w:rPr>
      <w:sz w:val="16"/>
      <w:vertAlign w:val="superscript"/>
    </w:rPr>
  </w:style>
  <w:style w:type="character" w:customStyle="1" w:styleId="Symbols">
    <w:name w:val="Symbols"/>
    <w:basedOn w:val="DefaultParagraphFont"/>
    <w:rsid w:val="00436A26"/>
    <w:rPr>
      <w:rFonts w:ascii="Symbol" w:hAnsi="Symbol"/>
    </w:rPr>
  </w:style>
  <w:style w:type="character" w:customStyle="1" w:styleId="MenuOptions">
    <w:name w:val="Menu Options"/>
    <w:basedOn w:val="DefaultParagraphFont"/>
    <w:rsid w:val="00436A2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36A26"/>
    <w:rPr>
      <w:b/>
    </w:rPr>
  </w:style>
  <w:style w:type="character" w:customStyle="1" w:styleId="Underlined">
    <w:name w:val="Underlined"/>
    <w:basedOn w:val="DefaultParagraphFont"/>
    <w:rsid w:val="00436A26"/>
    <w:rPr>
      <w:u w:val="single"/>
    </w:rPr>
  </w:style>
  <w:style w:type="paragraph" w:customStyle="1" w:styleId="TableBodyTextRight">
    <w:name w:val="Table Body Text Right"/>
    <w:basedOn w:val="TableBodyText"/>
    <w:rsid w:val="00436A2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36A26"/>
    <w:rPr>
      <w:sz w:val="18"/>
    </w:rPr>
  </w:style>
  <w:style w:type="paragraph" w:customStyle="1" w:styleId="BodySmallRight">
    <w:name w:val="Body Small Right"/>
    <w:basedOn w:val="BodyTextRight"/>
    <w:rsid w:val="00436A26"/>
    <w:rPr>
      <w:sz w:val="18"/>
      <w:szCs w:val="18"/>
    </w:rPr>
  </w:style>
  <w:style w:type="paragraph" w:customStyle="1" w:styleId="MarginEdition">
    <w:name w:val="Margin Edition"/>
    <w:basedOn w:val="MarginNote"/>
    <w:rsid w:val="00436A2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36A26"/>
    <w:rPr>
      <w:sz w:val="2"/>
      <w:szCs w:val="2"/>
    </w:rPr>
  </w:style>
  <w:style w:type="character" w:customStyle="1" w:styleId="Small">
    <w:name w:val="Small"/>
    <w:basedOn w:val="DefaultParagraphFont"/>
    <w:rsid w:val="00436A26"/>
    <w:rPr>
      <w:sz w:val="16"/>
    </w:rPr>
  </w:style>
  <w:style w:type="paragraph" w:customStyle="1" w:styleId="WideTable">
    <w:name w:val="Wide Table"/>
    <w:basedOn w:val="Normal"/>
    <w:rsid w:val="00436A2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36A26"/>
  </w:style>
  <w:style w:type="paragraph" w:styleId="Quote">
    <w:name w:val="Quote"/>
    <w:basedOn w:val="Heading1"/>
    <w:link w:val="QuoteChar"/>
    <w:qFormat/>
    <w:rsid w:val="00436A2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36A2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36A26"/>
    <w:pPr>
      <w:pageBreakBefore/>
    </w:pPr>
  </w:style>
  <w:style w:type="paragraph" w:customStyle="1" w:styleId="Border">
    <w:name w:val="Border"/>
    <w:basedOn w:val="Normal"/>
    <w:qFormat/>
    <w:rsid w:val="00436A2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36A2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A2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A2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36A2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36A2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36A2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36A2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36A2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36A26"/>
    <w:rPr>
      <w:u w:val="single"/>
    </w:rPr>
  </w:style>
  <w:style w:type="character" w:customStyle="1" w:styleId="BoldandItalics">
    <w:name w:val="Bold and Italics"/>
    <w:qFormat/>
    <w:rsid w:val="00436A26"/>
    <w:rPr>
      <w:b/>
      <w:i/>
      <w:u w:val="none"/>
    </w:rPr>
  </w:style>
  <w:style w:type="paragraph" w:styleId="BalloonText">
    <w:name w:val="Balloon Text"/>
    <w:basedOn w:val="Normal"/>
    <w:link w:val="BalloonTextChar"/>
    <w:rsid w:val="00436A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A2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36A2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36A2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36A2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36A2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36A26"/>
    <w:pPr>
      <w:spacing w:before="0" w:after="0"/>
    </w:pPr>
  </w:style>
  <w:style w:type="paragraph" w:customStyle="1" w:styleId="BodyTextBold">
    <w:name w:val="Body Text Bold"/>
    <w:basedOn w:val="BodyText"/>
    <w:qFormat/>
    <w:rsid w:val="00436A26"/>
    <w:rPr>
      <w:b/>
    </w:rPr>
  </w:style>
  <w:style w:type="character" w:styleId="Hyperlink">
    <w:name w:val="Hyperlink"/>
    <w:basedOn w:val="DefaultParagraphFont"/>
    <w:uiPriority w:val="99"/>
    <w:unhideWhenUsed/>
    <w:rsid w:val="00367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df441c6e-213d-43e3-874c-0b3f7036d85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697</Words>
  <Characters>4291</Characters>
  <Application>Microsoft Office Word</Application>
  <DocSecurity>0</DocSecurity>
  <Lines>195</Lines>
  <Paragraphs>99</Paragraphs>
  <ScaleCrop>false</ScaleCrop>
  <Company>Author-it Software Corporation Ltd.</Company>
  <LinksUpToDate>false</LinksUpToDate>
  <CharactersWithSpaces>4889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TLIS2004 Install and maintain rail bonding systems</dc:title>
  <dc:subject>Approved</dc:subject>
  <dc:creator>Australian Industry Standards</dc:creator>
  <cp:keywords>Release: 2</cp:keywords>
  <dc:description>Review Date: 12 April 2008</dc:description>
  <cp:lastModifiedBy>HSD_TPCMSd.prod</cp:lastModifiedBy>
  <cp:revision>3</cp:revision>
  <dcterms:created xsi:type="dcterms:W3CDTF">2022-12-20T02:46:00Z</dcterms:created>
  <dcterms:modified xsi:type="dcterms:W3CDTF">2022-12-20T02:46:00Z</dcterms:modified>
</cp:coreProperties>
</file>