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6B6A" w:rsidRDefault="00F16B6A" w:rsidP="00F16B6A">
      <w:pPr>
        <w:pStyle w:val="Title"/>
      </w:pPr>
      <w:fldSimple w:instr=" TITLE   \* MERGEFORMAT ">
        <w:r>
          <w:t>TLIF0001 Apply chain of responsibility legislation, regulations and workplace procedures</w:t>
        </w:r>
      </w:fldSimple>
    </w:p>
    <w:p w:rsidR="00F16B6A" w:rsidRDefault="00F16B6A" w:rsidP="00F16B6A">
      <w:pPr>
        <w:pStyle w:val="Version"/>
        <w:sectPr w:rsidR="00F16B6A" w:rsidSect="00E32F1D">
          <w:headerReference w:type="even" r:id="rId7"/>
          <w:headerReference w:type="default" r:id="rId8"/>
          <w:footerReference w:type="even" r:id="rId9"/>
          <w:footerReference w:type="default" r:id="rId10"/>
          <w:headerReference w:type="first" r:id="rId11"/>
          <w:footerReference w:type="first" r:id="rId12"/>
          <w:pgSz w:w="11908" w:h="16833"/>
          <w:pgMar w:top="1700" w:right="1418" w:bottom="1700" w:left="1418" w:header="992" w:footer="992" w:gutter="0"/>
          <w:cols w:space="720"/>
          <w:noEndnote/>
          <w:docGrid w:linePitch="299"/>
        </w:sectPr>
      </w:pPr>
      <w:fldSimple w:instr=" DOCPROPERTY  Keywords  \* MERGEFORMAT ">
        <w:r>
          <w:t>Release: 1</w:t>
        </w:r>
      </w:fldSimple>
    </w:p>
    <w:p w:rsidR="00000000" w:rsidRPr="00E32F1D" w:rsidRDefault="00F16B6A" w:rsidP="00E32F1D">
      <w:pPr>
        <w:pStyle w:val="SuperHeading"/>
      </w:pPr>
      <w:r w:rsidRPr="00E32F1D">
        <w:lastRenderedPageBreak/>
        <w:t>TLIF0001 Apply chain of responsibility legislation, regulations and workplace procedures</w:t>
      </w:r>
    </w:p>
    <w:p w:rsidR="00000000" w:rsidRPr="00E32F1D" w:rsidRDefault="00F16B6A" w:rsidP="00E32F1D">
      <w:pPr>
        <w:pStyle w:val="Heading1"/>
      </w:pPr>
      <w:bookmarkStart w:id="1" w:name="O_740371"/>
      <w:bookmarkEnd w:id="1"/>
      <w:r w:rsidRPr="00E32F1D">
        <w:t>Modification History</w:t>
      </w:r>
    </w:p>
    <w:p w:rsidR="00F16B6A" w:rsidRDefault="00F16B6A" w:rsidP="00F16B6A">
      <w:pPr>
        <w:pStyle w:val="BodyText"/>
      </w:pPr>
      <w:r w:rsidRPr="00E32F1D">
        <w:t>Release 1. This is the first release of this unit of competency in the TLI Transport and Logistics Training Package.</w:t>
      </w:r>
    </w:p>
    <w:p w:rsidR="00000000" w:rsidRPr="00E32F1D" w:rsidRDefault="00F16B6A" w:rsidP="00E32F1D">
      <w:pPr>
        <w:pStyle w:val="Heading1"/>
      </w:pPr>
      <w:bookmarkStart w:id="2" w:name="O_740372"/>
      <w:bookmarkEnd w:id="2"/>
      <w:r w:rsidRPr="00E32F1D">
        <w:t>Application</w:t>
      </w:r>
    </w:p>
    <w:p w:rsidR="00000000" w:rsidRPr="00E32F1D" w:rsidRDefault="00F16B6A" w:rsidP="00F16B6A">
      <w:pPr>
        <w:pStyle w:val="BodyText"/>
      </w:pPr>
      <w:r w:rsidRPr="00E32F1D">
        <w:t>This unit involves the skills and knowledge required to identify, apply and follow chain of responsibility legislation, regulations and workplace procedures in relation to heavy vehicles as they apply to an individual’s own job role.</w:t>
      </w:r>
    </w:p>
    <w:p w:rsidR="00000000" w:rsidRPr="00E32F1D" w:rsidRDefault="00F16B6A" w:rsidP="00F16B6A">
      <w:pPr>
        <w:pStyle w:val="BodyText"/>
      </w:pPr>
      <w:r w:rsidRPr="00E32F1D">
        <w:t>It</w:t>
      </w:r>
      <w:r w:rsidRPr="00E32F1D">
        <w:t xml:space="preserve"> includes explaining the chain of responsibility features, applying the requirements, and identifying and reporting breaches in the Heavy Vehicle National Law (HVNL) and regulations or applicable state/territory law and regulations.</w:t>
      </w:r>
    </w:p>
    <w:p w:rsidR="00000000" w:rsidRPr="00E32F1D" w:rsidRDefault="00F16B6A" w:rsidP="00F16B6A">
      <w:pPr>
        <w:pStyle w:val="BodyText"/>
      </w:pPr>
      <w:r w:rsidRPr="00E32F1D">
        <w:t>Work is performed under</w:t>
      </w:r>
      <w:r w:rsidRPr="00E32F1D">
        <w:t xml:space="preserve"> some supervision, generally within a team environment.</w:t>
      </w:r>
    </w:p>
    <w:p w:rsidR="00F16B6A" w:rsidRDefault="00F16B6A" w:rsidP="00F16B6A">
      <w:pPr>
        <w:pStyle w:val="BodyText"/>
      </w:pPr>
      <w:r w:rsidRPr="00E32F1D">
        <w:t>No licensing, legislative or certification requirements apply to this unit at the time of publication.</w:t>
      </w:r>
    </w:p>
    <w:p w:rsidR="00000000" w:rsidRPr="00E32F1D" w:rsidRDefault="00F16B6A" w:rsidP="00E32F1D">
      <w:pPr>
        <w:pStyle w:val="Heading1"/>
      </w:pPr>
      <w:bookmarkStart w:id="3" w:name="O_740373"/>
      <w:bookmarkEnd w:id="3"/>
      <w:r w:rsidRPr="00E32F1D">
        <w:t>Pre-requisite Unit</w:t>
      </w:r>
    </w:p>
    <w:p w:rsidR="00000000" w:rsidRPr="00E32F1D" w:rsidRDefault="00F16B6A" w:rsidP="00F16B6A">
      <w:pPr>
        <w:pStyle w:val="BodyText"/>
      </w:pPr>
      <w:r w:rsidRPr="00E32F1D">
        <w:t>Not applicable.</w:t>
      </w:r>
    </w:p>
    <w:p w:rsidR="00000000" w:rsidRPr="00E32F1D" w:rsidRDefault="00F16B6A" w:rsidP="00E32F1D">
      <w:pPr>
        <w:pStyle w:val="Heading1"/>
      </w:pPr>
      <w:bookmarkStart w:id="4" w:name="O_740374"/>
      <w:bookmarkEnd w:id="4"/>
      <w:r w:rsidRPr="00E32F1D">
        <w:t>Competency Field</w:t>
      </w:r>
    </w:p>
    <w:p w:rsidR="00F16B6A" w:rsidRDefault="00F16B6A" w:rsidP="00F16B6A">
      <w:pPr>
        <w:pStyle w:val="BodyText"/>
      </w:pPr>
      <w:r w:rsidRPr="00E32F1D">
        <w:t>F – Safety</w:t>
      </w:r>
      <w:r w:rsidRPr="00E32F1D">
        <w:t xml:space="preserve"> Management</w:t>
      </w:r>
    </w:p>
    <w:p w:rsidR="00000000" w:rsidRPr="00E32F1D" w:rsidRDefault="00F16B6A" w:rsidP="00E32F1D">
      <w:pPr>
        <w:pStyle w:val="Heading1"/>
      </w:pPr>
      <w:bookmarkStart w:id="5" w:name="O_740375"/>
      <w:bookmarkEnd w:id="5"/>
      <w:r w:rsidRPr="00E32F1D">
        <w:t>Unit Sector</w:t>
      </w:r>
    </w:p>
    <w:p w:rsidR="00000000" w:rsidRPr="00E32F1D" w:rsidRDefault="00F16B6A" w:rsidP="00F16B6A">
      <w:pPr>
        <w:pStyle w:val="BodyText"/>
      </w:pPr>
      <w:r w:rsidRPr="00E32F1D">
        <w:t>Not applicable.</w:t>
      </w:r>
    </w:p>
    <w:p w:rsidR="00000000" w:rsidRPr="00E32F1D" w:rsidRDefault="00F16B6A" w:rsidP="00E32F1D">
      <w:pPr>
        <w:pStyle w:val="Heading1"/>
      </w:pPr>
      <w:bookmarkStart w:id="6" w:name="O_740376"/>
      <w:bookmarkEnd w:id="6"/>
      <w:r w:rsidRPr="00E32F1D">
        <w:t>Elements and Performance Criteria</w:t>
      </w:r>
    </w:p>
    <w:tbl>
      <w:tblPr>
        <w:tblW w:w="0" w:type="auto"/>
        <w:tblCellMar>
          <w:left w:w="62" w:type="dxa"/>
          <w:right w:w="62" w:type="dxa"/>
        </w:tblCellMar>
        <w:tblLook w:val="0000" w:firstRow="0" w:lastRow="0" w:firstColumn="0" w:lastColumn="0" w:noHBand="0" w:noVBand="0"/>
      </w:tblPr>
      <w:tblGrid>
        <w:gridCol w:w="432"/>
        <w:gridCol w:w="2298"/>
        <w:gridCol w:w="718"/>
        <w:gridCol w:w="9035"/>
      </w:tblGrid>
      <w:tr w:rsidR="00E32F1D" w:rsidTr="00F16B6A">
        <w:tc>
          <w:tcPr>
            <w:tcW w:w="0" w:type="auto"/>
            <w:gridSpan w:val="2"/>
            <w:tcBorders>
              <w:top w:val="nil"/>
              <w:left w:val="nil"/>
              <w:bottom w:val="nil"/>
              <w:right w:val="nil"/>
            </w:tcBorders>
            <w:tcMar>
              <w:top w:w="0" w:type="dxa"/>
              <w:left w:w="62" w:type="dxa"/>
              <w:bottom w:w="0" w:type="dxa"/>
              <w:right w:w="62" w:type="dxa"/>
            </w:tcMar>
          </w:tcPr>
          <w:p w:rsidR="00000000" w:rsidRPr="00E32F1D" w:rsidRDefault="00F16B6A" w:rsidP="00E32F1D">
            <w:pPr>
              <w:pStyle w:val="BodyText"/>
            </w:pPr>
            <w:r w:rsidRPr="00E32F1D">
              <w:rPr>
                <w:rStyle w:val="SpecialBold"/>
              </w:rPr>
              <w:t>ELEMENTS</w:t>
            </w:r>
          </w:p>
        </w:tc>
        <w:tc>
          <w:tcPr>
            <w:tcW w:w="0" w:type="auto"/>
            <w:gridSpan w:val="2"/>
            <w:tcBorders>
              <w:top w:val="nil"/>
              <w:left w:val="nil"/>
              <w:bottom w:val="nil"/>
              <w:right w:val="nil"/>
            </w:tcBorders>
            <w:tcMar>
              <w:top w:w="0" w:type="dxa"/>
              <w:left w:w="62" w:type="dxa"/>
              <w:bottom w:w="0" w:type="dxa"/>
              <w:right w:w="62" w:type="dxa"/>
            </w:tcMar>
          </w:tcPr>
          <w:p w:rsidR="00000000" w:rsidRDefault="00F16B6A" w:rsidP="00E32F1D">
            <w:pPr>
              <w:pStyle w:val="BodyText"/>
              <w:rPr>
                <w:lang w:val="en-NZ"/>
              </w:rPr>
            </w:pPr>
            <w:r w:rsidRPr="00E32F1D">
              <w:rPr>
                <w:rStyle w:val="SpecialBold"/>
              </w:rPr>
              <w:t>PERFORMANCE CRITERIA</w:t>
            </w:r>
          </w:p>
        </w:tc>
      </w:tr>
      <w:tr w:rsidR="00E32F1D" w:rsidRPr="00E32F1D" w:rsidTr="00F16B6A">
        <w:tc>
          <w:tcPr>
            <w:tcW w:w="0" w:type="auto"/>
            <w:gridSpan w:val="2"/>
            <w:tcBorders>
              <w:top w:val="nil"/>
              <w:left w:val="nil"/>
              <w:bottom w:val="nil"/>
              <w:right w:val="nil"/>
            </w:tcBorders>
            <w:tcMar>
              <w:top w:w="0" w:type="dxa"/>
              <w:left w:w="62" w:type="dxa"/>
              <w:bottom w:w="0" w:type="dxa"/>
              <w:right w:w="62" w:type="dxa"/>
            </w:tcMar>
          </w:tcPr>
          <w:p w:rsidR="00000000" w:rsidRDefault="00F16B6A" w:rsidP="00E32F1D">
            <w:pPr>
              <w:pStyle w:val="BodyText"/>
              <w:rPr>
                <w:lang w:val="en-NZ"/>
              </w:rPr>
            </w:pPr>
            <w:r w:rsidRPr="00E32F1D">
              <w:t>Elements describe the essential outcomes.</w:t>
            </w:r>
          </w:p>
        </w:tc>
        <w:tc>
          <w:tcPr>
            <w:tcW w:w="0" w:type="auto"/>
            <w:gridSpan w:val="2"/>
            <w:tcBorders>
              <w:top w:val="nil"/>
              <w:left w:val="nil"/>
              <w:bottom w:val="nil"/>
              <w:right w:val="nil"/>
            </w:tcBorders>
            <w:tcMar>
              <w:top w:w="0" w:type="dxa"/>
              <w:left w:w="62" w:type="dxa"/>
              <w:bottom w:w="0" w:type="dxa"/>
              <w:right w:w="62" w:type="dxa"/>
            </w:tcMar>
          </w:tcPr>
          <w:p w:rsidR="00000000" w:rsidRDefault="00F16B6A" w:rsidP="00E32F1D">
            <w:pPr>
              <w:pStyle w:val="BodyText"/>
              <w:rPr>
                <w:lang w:val="en-NZ"/>
              </w:rPr>
            </w:pPr>
            <w:r w:rsidRPr="00E32F1D">
              <w:t>Performance</w:t>
            </w:r>
            <w:r w:rsidRPr="00E32F1D">
              <w:t xml:space="preserve"> criteria describe the performance needed to demonstrate achievement of the element.</w:t>
            </w:r>
          </w:p>
        </w:tc>
      </w:tr>
      <w:tr w:rsidR="00000000" w:rsidTr="00F16B6A">
        <w:tc>
          <w:tcPr>
            <w:tcW w:w="0" w:type="auto"/>
            <w:vMerge w:val="restart"/>
            <w:tcBorders>
              <w:top w:val="nil"/>
              <w:left w:val="nil"/>
              <w:bottom w:val="nil"/>
              <w:right w:val="nil"/>
            </w:tcBorders>
            <w:tcMar>
              <w:top w:w="0" w:type="dxa"/>
              <w:left w:w="62" w:type="dxa"/>
              <w:bottom w:w="0" w:type="dxa"/>
              <w:right w:w="62" w:type="dxa"/>
            </w:tcMar>
          </w:tcPr>
          <w:p w:rsidR="00000000" w:rsidRPr="00E32F1D" w:rsidRDefault="00F16B6A" w:rsidP="00E32F1D">
            <w:pPr>
              <w:pStyle w:val="BodyText"/>
            </w:pPr>
            <w:r w:rsidRPr="00E32F1D">
              <w:rPr>
                <w:rStyle w:val="SpecialBold"/>
              </w:rPr>
              <w:lastRenderedPageBreak/>
              <w:t>1</w:t>
            </w:r>
          </w:p>
        </w:tc>
        <w:tc>
          <w:tcPr>
            <w:tcW w:w="0" w:type="auto"/>
            <w:vMerge w:val="restart"/>
            <w:tcBorders>
              <w:top w:val="nil"/>
              <w:left w:val="nil"/>
              <w:bottom w:val="nil"/>
              <w:right w:val="nil"/>
            </w:tcBorders>
            <w:tcMar>
              <w:top w:w="0" w:type="dxa"/>
              <w:left w:w="62" w:type="dxa"/>
              <w:bottom w:w="0" w:type="dxa"/>
              <w:right w:w="62" w:type="dxa"/>
            </w:tcMar>
          </w:tcPr>
          <w:p w:rsidR="00000000" w:rsidRDefault="00F16B6A" w:rsidP="00E32F1D">
            <w:pPr>
              <w:pStyle w:val="BodyText"/>
              <w:rPr>
                <w:lang w:val="en-NZ"/>
              </w:rPr>
            </w:pPr>
            <w:r w:rsidRPr="00E32F1D">
              <w:rPr>
                <w:rStyle w:val="SpecialBold"/>
              </w:rPr>
              <w:t xml:space="preserve">Explain the chain of responsibility features in the Heavy Vehicle National Law and regulations or applicable state/territory law and regulations </w:t>
            </w:r>
          </w:p>
        </w:tc>
        <w:tc>
          <w:tcPr>
            <w:tcW w:w="0" w:type="auto"/>
            <w:tcBorders>
              <w:top w:val="nil"/>
              <w:left w:val="nil"/>
              <w:bottom w:val="nil"/>
              <w:right w:val="nil"/>
            </w:tcBorders>
            <w:tcMar>
              <w:top w:w="0" w:type="dxa"/>
              <w:left w:w="62" w:type="dxa"/>
              <w:bottom w:w="0" w:type="dxa"/>
              <w:right w:w="62" w:type="dxa"/>
            </w:tcMar>
          </w:tcPr>
          <w:p w:rsidR="00000000" w:rsidRDefault="00F16B6A" w:rsidP="00E32F1D">
            <w:pPr>
              <w:pStyle w:val="BodyText"/>
              <w:rPr>
                <w:lang w:val="en-NZ"/>
              </w:rPr>
            </w:pPr>
            <w:r w:rsidRPr="00E32F1D">
              <w:t>1.1</w:t>
            </w:r>
          </w:p>
        </w:tc>
        <w:tc>
          <w:tcPr>
            <w:tcW w:w="0" w:type="auto"/>
            <w:tcBorders>
              <w:top w:val="nil"/>
              <w:left w:val="nil"/>
              <w:bottom w:val="nil"/>
              <w:right w:val="nil"/>
            </w:tcBorders>
            <w:tcMar>
              <w:top w:w="0" w:type="dxa"/>
              <w:left w:w="62" w:type="dxa"/>
              <w:bottom w:w="0" w:type="dxa"/>
              <w:right w:w="62" w:type="dxa"/>
            </w:tcMar>
          </w:tcPr>
          <w:p w:rsidR="00000000" w:rsidRDefault="00F16B6A" w:rsidP="00E32F1D">
            <w:pPr>
              <w:pStyle w:val="BodyText"/>
              <w:rPr>
                <w:lang w:val="en-NZ"/>
              </w:rPr>
            </w:pPr>
            <w:r w:rsidRPr="00E32F1D">
              <w:t>Principal obligat</w:t>
            </w:r>
            <w:r w:rsidRPr="00E32F1D">
              <w:t>ions within chain of responsibility in the Heavy Vehicle National Law (HVNL) and regulations or applicable state/territory law and regulations are identified</w:t>
            </w:r>
          </w:p>
        </w:tc>
      </w:tr>
      <w:tr w:rsidR="00000000" w:rsidTr="00F16B6A">
        <w:tc>
          <w:tcPr>
            <w:tcW w:w="0" w:type="auto"/>
            <w:vMerge/>
            <w:tcBorders>
              <w:top w:val="nil"/>
              <w:left w:val="nil"/>
              <w:bottom w:val="nil"/>
              <w:right w:val="nil"/>
            </w:tcBorders>
            <w:tcMar>
              <w:top w:w="0" w:type="dxa"/>
              <w:left w:w="62" w:type="dxa"/>
              <w:bottom w:w="0" w:type="dxa"/>
              <w:right w:w="62" w:type="dxa"/>
            </w:tcMar>
          </w:tcPr>
          <w:p w:rsidR="00000000" w:rsidRDefault="00F16B6A">
            <w:pPr>
              <w:pStyle w:val="BodyText"/>
              <w:keepLines w:val="0"/>
              <w:rPr>
                <w:rFonts w:ascii="Tahoma" w:hAnsi="Tahoma"/>
                <w:color w:val="000000"/>
                <w:sz w:val="20"/>
                <w:lang w:val="en-NZ"/>
              </w:rPr>
            </w:pPr>
          </w:p>
        </w:tc>
        <w:tc>
          <w:tcPr>
            <w:tcW w:w="0" w:type="auto"/>
            <w:vMerge/>
            <w:tcBorders>
              <w:top w:val="nil"/>
              <w:left w:val="nil"/>
              <w:bottom w:val="nil"/>
              <w:right w:val="nil"/>
            </w:tcBorders>
            <w:tcMar>
              <w:top w:w="0" w:type="dxa"/>
              <w:left w:w="62" w:type="dxa"/>
              <w:bottom w:w="0" w:type="dxa"/>
              <w:right w:w="62" w:type="dxa"/>
            </w:tcMar>
          </w:tcPr>
          <w:p w:rsidR="00000000" w:rsidRDefault="00F16B6A">
            <w:pPr>
              <w:pStyle w:val="BodyText"/>
              <w:keepLines w:val="0"/>
              <w:rPr>
                <w:rFonts w:ascii="Tahoma" w:hAnsi="Tahoma"/>
                <w:color w:val="000000"/>
                <w:sz w:val="20"/>
                <w:lang w:val="en-NZ"/>
              </w:rPr>
            </w:pPr>
          </w:p>
        </w:tc>
        <w:tc>
          <w:tcPr>
            <w:tcW w:w="0" w:type="auto"/>
            <w:tcBorders>
              <w:top w:val="nil"/>
              <w:left w:val="nil"/>
              <w:bottom w:val="nil"/>
              <w:right w:val="nil"/>
            </w:tcBorders>
            <w:tcMar>
              <w:top w:w="0" w:type="dxa"/>
              <w:left w:w="62" w:type="dxa"/>
              <w:bottom w:w="0" w:type="dxa"/>
              <w:right w:w="62" w:type="dxa"/>
            </w:tcMar>
          </w:tcPr>
          <w:p w:rsidR="00000000" w:rsidRDefault="00F16B6A" w:rsidP="00E32F1D">
            <w:pPr>
              <w:pStyle w:val="BodyText"/>
              <w:rPr>
                <w:lang w:val="en-NZ"/>
              </w:rPr>
            </w:pPr>
            <w:r w:rsidRPr="00E32F1D">
              <w:t>1.2</w:t>
            </w:r>
          </w:p>
        </w:tc>
        <w:tc>
          <w:tcPr>
            <w:tcW w:w="0" w:type="auto"/>
            <w:tcBorders>
              <w:top w:val="nil"/>
              <w:left w:val="nil"/>
              <w:bottom w:val="nil"/>
              <w:right w:val="nil"/>
            </w:tcBorders>
            <w:tcMar>
              <w:top w:w="0" w:type="dxa"/>
              <w:left w:w="62" w:type="dxa"/>
              <w:bottom w:w="0" w:type="dxa"/>
              <w:right w:w="62" w:type="dxa"/>
            </w:tcMar>
          </w:tcPr>
          <w:p w:rsidR="00000000" w:rsidRDefault="00F16B6A" w:rsidP="00E32F1D">
            <w:pPr>
              <w:pStyle w:val="BodyText"/>
              <w:rPr>
                <w:lang w:val="en-NZ"/>
              </w:rPr>
            </w:pPr>
            <w:r w:rsidRPr="00E32F1D">
              <w:t>Principal duties of each party in the chain of responsibility as outlined in the HVNL and r</w:t>
            </w:r>
            <w:r w:rsidRPr="00E32F1D">
              <w:t>egulations or applicable state/territory law and regulations are explained</w:t>
            </w:r>
          </w:p>
        </w:tc>
      </w:tr>
      <w:tr w:rsidR="00000000" w:rsidTr="00F16B6A">
        <w:tc>
          <w:tcPr>
            <w:tcW w:w="0" w:type="auto"/>
            <w:vMerge/>
            <w:tcBorders>
              <w:top w:val="nil"/>
              <w:left w:val="nil"/>
              <w:bottom w:val="nil"/>
              <w:right w:val="nil"/>
            </w:tcBorders>
            <w:tcMar>
              <w:top w:w="0" w:type="dxa"/>
              <w:left w:w="62" w:type="dxa"/>
              <w:bottom w:w="0" w:type="dxa"/>
              <w:right w:w="62" w:type="dxa"/>
            </w:tcMar>
          </w:tcPr>
          <w:p w:rsidR="00000000" w:rsidRDefault="00F16B6A">
            <w:pPr>
              <w:pStyle w:val="BodyText"/>
              <w:keepLines w:val="0"/>
              <w:rPr>
                <w:rFonts w:ascii="Tahoma" w:hAnsi="Tahoma"/>
                <w:color w:val="000000"/>
                <w:sz w:val="20"/>
                <w:lang w:val="en-NZ"/>
              </w:rPr>
            </w:pPr>
          </w:p>
        </w:tc>
        <w:tc>
          <w:tcPr>
            <w:tcW w:w="0" w:type="auto"/>
            <w:vMerge/>
            <w:tcBorders>
              <w:top w:val="nil"/>
              <w:left w:val="nil"/>
              <w:bottom w:val="nil"/>
              <w:right w:val="nil"/>
            </w:tcBorders>
            <w:tcMar>
              <w:top w:w="0" w:type="dxa"/>
              <w:left w:w="62" w:type="dxa"/>
              <w:bottom w:w="0" w:type="dxa"/>
              <w:right w:w="62" w:type="dxa"/>
            </w:tcMar>
          </w:tcPr>
          <w:p w:rsidR="00000000" w:rsidRDefault="00F16B6A">
            <w:pPr>
              <w:pStyle w:val="BodyText"/>
              <w:keepLines w:val="0"/>
              <w:rPr>
                <w:rFonts w:ascii="Tahoma" w:hAnsi="Tahoma"/>
                <w:color w:val="000000"/>
                <w:sz w:val="20"/>
                <w:lang w:val="en-NZ"/>
              </w:rPr>
            </w:pPr>
          </w:p>
        </w:tc>
        <w:tc>
          <w:tcPr>
            <w:tcW w:w="0" w:type="auto"/>
            <w:tcBorders>
              <w:top w:val="nil"/>
              <w:left w:val="nil"/>
              <w:bottom w:val="nil"/>
              <w:right w:val="nil"/>
            </w:tcBorders>
            <w:tcMar>
              <w:top w:w="0" w:type="dxa"/>
              <w:left w:w="62" w:type="dxa"/>
              <w:bottom w:w="0" w:type="dxa"/>
              <w:right w:w="62" w:type="dxa"/>
            </w:tcMar>
          </w:tcPr>
          <w:p w:rsidR="00000000" w:rsidRDefault="00F16B6A" w:rsidP="00E32F1D">
            <w:pPr>
              <w:pStyle w:val="BodyText"/>
              <w:rPr>
                <w:lang w:val="en-NZ"/>
              </w:rPr>
            </w:pPr>
            <w:r w:rsidRPr="00E32F1D">
              <w:t>1.3</w:t>
            </w:r>
          </w:p>
        </w:tc>
        <w:tc>
          <w:tcPr>
            <w:tcW w:w="0" w:type="auto"/>
            <w:tcBorders>
              <w:top w:val="nil"/>
              <w:left w:val="nil"/>
              <w:bottom w:val="nil"/>
              <w:right w:val="nil"/>
            </w:tcBorders>
            <w:tcMar>
              <w:top w:w="0" w:type="dxa"/>
              <w:left w:w="62" w:type="dxa"/>
              <w:bottom w:w="0" w:type="dxa"/>
              <w:right w:w="62" w:type="dxa"/>
            </w:tcMar>
          </w:tcPr>
          <w:p w:rsidR="00000000" w:rsidRDefault="00F16B6A" w:rsidP="00E32F1D">
            <w:pPr>
              <w:pStyle w:val="BodyText"/>
              <w:rPr>
                <w:lang w:val="en-NZ"/>
              </w:rPr>
            </w:pPr>
            <w:r w:rsidRPr="00E32F1D">
              <w:t xml:space="preserve">Breaches and penalties for each party for failure to comply with chain of responsibility as identified in the HVNL and regulations or applicable </w:t>
            </w:r>
            <w:r w:rsidRPr="00E32F1D">
              <w:t>state/territory law and regulations are explained</w:t>
            </w:r>
          </w:p>
        </w:tc>
      </w:tr>
      <w:tr w:rsidR="00000000" w:rsidRPr="00E32F1D" w:rsidTr="00F16B6A">
        <w:tc>
          <w:tcPr>
            <w:tcW w:w="0" w:type="auto"/>
            <w:vMerge/>
            <w:tcBorders>
              <w:top w:val="nil"/>
              <w:left w:val="nil"/>
              <w:bottom w:val="nil"/>
              <w:right w:val="nil"/>
            </w:tcBorders>
            <w:tcMar>
              <w:top w:w="0" w:type="dxa"/>
              <w:left w:w="62" w:type="dxa"/>
              <w:bottom w:w="0" w:type="dxa"/>
              <w:right w:w="62" w:type="dxa"/>
            </w:tcMar>
          </w:tcPr>
          <w:p w:rsidR="00000000" w:rsidRDefault="00F16B6A">
            <w:pPr>
              <w:pStyle w:val="BodyText"/>
              <w:keepLines w:val="0"/>
              <w:rPr>
                <w:rFonts w:ascii="Tahoma" w:hAnsi="Tahoma"/>
                <w:color w:val="000000"/>
                <w:sz w:val="20"/>
                <w:lang w:val="en-NZ"/>
              </w:rPr>
            </w:pPr>
          </w:p>
        </w:tc>
        <w:tc>
          <w:tcPr>
            <w:tcW w:w="0" w:type="auto"/>
            <w:vMerge/>
            <w:tcBorders>
              <w:top w:val="nil"/>
              <w:left w:val="nil"/>
              <w:bottom w:val="nil"/>
              <w:right w:val="nil"/>
            </w:tcBorders>
            <w:tcMar>
              <w:top w:w="0" w:type="dxa"/>
              <w:left w:w="62" w:type="dxa"/>
              <w:bottom w:w="0" w:type="dxa"/>
              <w:right w:w="62" w:type="dxa"/>
            </w:tcMar>
          </w:tcPr>
          <w:p w:rsidR="00000000" w:rsidRDefault="00F16B6A">
            <w:pPr>
              <w:pStyle w:val="BodyText"/>
              <w:keepLines w:val="0"/>
              <w:rPr>
                <w:rFonts w:ascii="Tahoma" w:hAnsi="Tahoma"/>
                <w:color w:val="000000"/>
                <w:sz w:val="20"/>
                <w:lang w:val="en-NZ"/>
              </w:rPr>
            </w:pPr>
          </w:p>
        </w:tc>
        <w:tc>
          <w:tcPr>
            <w:tcW w:w="0" w:type="auto"/>
            <w:tcBorders>
              <w:top w:val="nil"/>
              <w:left w:val="nil"/>
              <w:bottom w:val="nil"/>
              <w:right w:val="nil"/>
            </w:tcBorders>
            <w:tcMar>
              <w:top w:w="0" w:type="dxa"/>
              <w:left w:w="62" w:type="dxa"/>
              <w:bottom w:w="0" w:type="dxa"/>
              <w:right w:w="62" w:type="dxa"/>
            </w:tcMar>
          </w:tcPr>
          <w:p w:rsidR="00000000" w:rsidRDefault="00F16B6A" w:rsidP="00E32F1D">
            <w:pPr>
              <w:pStyle w:val="BodyText"/>
              <w:rPr>
                <w:lang w:val="en-NZ"/>
              </w:rPr>
            </w:pPr>
            <w:r w:rsidRPr="00E32F1D">
              <w:t>1.4</w:t>
            </w:r>
          </w:p>
        </w:tc>
        <w:tc>
          <w:tcPr>
            <w:tcW w:w="0" w:type="auto"/>
            <w:tcBorders>
              <w:top w:val="nil"/>
              <w:left w:val="nil"/>
              <w:bottom w:val="nil"/>
              <w:right w:val="nil"/>
            </w:tcBorders>
            <w:tcMar>
              <w:top w:w="0" w:type="dxa"/>
              <w:left w:w="62" w:type="dxa"/>
              <w:bottom w:w="0" w:type="dxa"/>
              <w:right w:w="62" w:type="dxa"/>
            </w:tcMar>
          </w:tcPr>
          <w:p w:rsidR="00000000" w:rsidRDefault="00F16B6A" w:rsidP="00E32F1D">
            <w:pPr>
              <w:pStyle w:val="BodyText"/>
              <w:rPr>
                <w:lang w:val="en-NZ"/>
              </w:rPr>
            </w:pPr>
            <w:r w:rsidRPr="00E32F1D">
              <w:t>Reasonable steps to be followed by each party to comply with chain of responsibility as outlined in the HVNL and regulations or applicable state/territory law and regulations are explained</w:t>
            </w:r>
          </w:p>
        </w:tc>
      </w:tr>
      <w:tr w:rsidR="00000000" w:rsidTr="00F16B6A">
        <w:tc>
          <w:tcPr>
            <w:tcW w:w="0" w:type="auto"/>
            <w:vMerge w:val="restart"/>
            <w:tcBorders>
              <w:top w:val="nil"/>
              <w:left w:val="nil"/>
              <w:bottom w:val="nil"/>
              <w:right w:val="nil"/>
            </w:tcBorders>
            <w:tcMar>
              <w:top w:w="0" w:type="dxa"/>
              <w:left w:w="62" w:type="dxa"/>
              <w:bottom w:w="0" w:type="dxa"/>
              <w:right w:w="62" w:type="dxa"/>
            </w:tcMar>
          </w:tcPr>
          <w:p w:rsidR="00000000" w:rsidRPr="00E32F1D" w:rsidRDefault="00F16B6A" w:rsidP="00E32F1D">
            <w:pPr>
              <w:pStyle w:val="BodyText"/>
            </w:pPr>
            <w:r w:rsidRPr="00E32F1D">
              <w:rPr>
                <w:rStyle w:val="SpecialBold"/>
              </w:rPr>
              <w:t>2</w:t>
            </w:r>
          </w:p>
        </w:tc>
        <w:tc>
          <w:tcPr>
            <w:tcW w:w="0" w:type="auto"/>
            <w:vMerge w:val="restart"/>
            <w:tcBorders>
              <w:top w:val="nil"/>
              <w:left w:val="nil"/>
              <w:bottom w:val="nil"/>
              <w:right w:val="nil"/>
            </w:tcBorders>
            <w:tcMar>
              <w:top w:w="0" w:type="dxa"/>
              <w:left w:w="62" w:type="dxa"/>
              <w:bottom w:w="0" w:type="dxa"/>
              <w:right w:w="62" w:type="dxa"/>
            </w:tcMar>
          </w:tcPr>
          <w:p w:rsidR="00000000" w:rsidRDefault="00F16B6A" w:rsidP="00E32F1D">
            <w:pPr>
              <w:pStyle w:val="BodyText"/>
              <w:rPr>
                <w:lang w:val="en-NZ"/>
              </w:rPr>
            </w:pPr>
            <w:r w:rsidRPr="00E32F1D">
              <w:rPr>
                <w:rStyle w:val="SpecialBold"/>
              </w:rPr>
              <w:t>Apply c</w:t>
            </w:r>
            <w:r w:rsidRPr="00E32F1D">
              <w:rPr>
                <w:rStyle w:val="SpecialBold"/>
              </w:rPr>
              <w:t>hain of responsibility requirements in the Heavy Vehicle National Law and regulations or applicable state/territory law and regulations</w:t>
            </w:r>
          </w:p>
        </w:tc>
        <w:tc>
          <w:tcPr>
            <w:tcW w:w="0" w:type="auto"/>
            <w:tcBorders>
              <w:top w:val="nil"/>
              <w:left w:val="nil"/>
              <w:bottom w:val="nil"/>
              <w:right w:val="nil"/>
            </w:tcBorders>
            <w:tcMar>
              <w:top w:w="0" w:type="dxa"/>
              <w:left w:w="62" w:type="dxa"/>
              <w:bottom w:w="0" w:type="dxa"/>
              <w:right w:w="62" w:type="dxa"/>
            </w:tcMar>
          </w:tcPr>
          <w:p w:rsidR="00000000" w:rsidRDefault="00F16B6A" w:rsidP="00E32F1D">
            <w:pPr>
              <w:pStyle w:val="BodyText"/>
              <w:rPr>
                <w:lang w:val="en-NZ"/>
              </w:rPr>
            </w:pPr>
            <w:r w:rsidRPr="00E32F1D">
              <w:t>2.1</w:t>
            </w:r>
          </w:p>
        </w:tc>
        <w:tc>
          <w:tcPr>
            <w:tcW w:w="0" w:type="auto"/>
            <w:tcBorders>
              <w:top w:val="nil"/>
              <w:left w:val="nil"/>
              <w:bottom w:val="nil"/>
              <w:right w:val="nil"/>
            </w:tcBorders>
            <w:tcMar>
              <w:top w:w="0" w:type="dxa"/>
              <w:left w:w="62" w:type="dxa"/>
              <w:bottom w:w="0" w:type="dxa"/>
              <w:right w:w="62" w:type="dxa"/>
            </w:tcMar>
          </w:tcPr>
          <w:p w:rsidR="00000000" w:rsidRDefault="00F16B6A" w:rsidP="00E32F1D">
            <w:pPr>
              <w:pStyle w:val="BodyText"/>
              <w:rPr>
                <w:lang w:val="en-NZ"/>
              </w:rPr>
            </w:pPr>
            <w:r w:rsidRPr="00E32F1D">
              <w:t>Workplace policies, procedures and other documents that include chain of responsibility as it applies to own job rol</w:t>
            </w:r>
            <w:r w:rsidRPr="00E32F1D">
              <w:t xml:space="preserve">e are identified and explained </w:t>
            </w:r>
          </w:p>
        </w:tc>
      </w:tr>
      <w:tr w:rsidR="00000000" w:rsidTr="00F16B6A">
        <w:tc>
          <w:tcPr>
            <w:tcW w:w="0" w:type="auto"/>
            <w:vMerge/>
            <w:tcBorders>
              <w:top w:val="nil"/>
              <w:left w:val="nil"/>
              <w:bottom w:val="nil"/>
              <w:right w:val="nil"/>
            </w:tcBorders>
            <w:tcMar>
              <w:top w:w="0" w:type="dxa"/>
              <w:left w:w="62" w:type="dxa"/>
              <w:bottom w:w="0" w:type="dxa"/>
              <w:right w:w="62" w:type="dxa"/>
            </w:tcMar>
          </w:tcPr>
          <w:p w:rsidR="00000000" w:rsidRDefault="00F16B6A">
            <w:pPr>
              <w:pStyle w:val="BodyText"/>
              <w:keepLines w:val="0"/>
              <w:rPr>
                <w:rFonts w:ascii="Tahoma" w:hAnsi="Tahoma"/>
                <w:color w:val="000000"/>
                <w:sz w:val="20"/>
                <w:lang w:val="en-NZ"/>
              </w:rPr>
            </w:pPr>
          </w:p>
        </w:tc>
        <w:tc>
          <w:tcPr>
            <w:tcW w:w="0" w:type="auto"/>
            <w:vMerge/>
            <w:tcBorders>
              <w:top w:val="nil"/>
              <w:left w:val="nil"/>
              <w:bottom w:val="nil"/>
              <w:right w:val="nil"/>
            </w:tcBorders>
            <w:tcMar>
              <w:top w:w="0" w:type="dxa"/>
              <w:left w:w="62" w:type="dxa"/>
              <w:bottom w:w="0" w:type="dxa"/>
              <w:right w:w="62" w:type="dxa"/>
            </w:tcMar>
          </w:tcPr>
          <w:p w:rsidR="00000000" w:rsidRDefault="00F16B6A">
            <w:pPr>
              <w:pStyle w:val="BodyText"/>
              <w:keepLines w:val="0"/>
              <w:rPr>
                <w:rFonts w:ascii="Tahoma" w:hAnsi="Tahoma"/>
                <w:color w:val="000000"/>
                <w:sz w:val="20"/>
                <w:lang w:val="en-NZ"/>
              </w:rPr>
            </w:pPr>
          </w:p>
        </w:tc>
        <w:tc>
          <w:tcPr>
            <w:tcW w:w="0" w:type="auto"/>
            <w:tcBorders>
              <w:top w:val="nil"/>
              <w:left w:val="nil"/>
              <w:bottom w:val="nil"/>
              <w:right w:val="nil"/>
            </w:tcBorders>
            <w:tcMar>
              <w:top w:w="0" w:type="dxa"/>
              <w:left w:w="62" w:type="dxa"/>
              <w:bottom w:w="0" w:type="dxa"/>
              <w:right w:w="62" w:type="dxa"/>
            </w:tcMar>
          </w:tcPr>
          <w:p w:rsidR="00000000" w:rsidRDefault="00F16B6A" w:rsidP="00E32F1D">
            <w:pPr>
              <w:pStyle w:val="BodyText"/>
              <w:rPr>
                <w:lang w:val="en-NZ"/>
              </w:rPr>
            </w:pPr>
            <w:r w:rsidRPr="00E32F1D">
              <w:t>2.2</w:t>
            </w:r>
          </w:p>
        </w:tc>
        <w:tc>
          <w:tcPr>
            <w:tcW w:w="0" w:type="auto"/>
            <w:tcBorders>
              <w:top w:val="nil"/>
              <w:left w:val="nil"/>
              <w:bottom w:val="nil"/>
              <w:right w:val="nil"/>
            </w:tcBorders>
            <w:tcMar>
              <w:top w:w="0" w:type="dxa"/>
              <w:left w:w="62" w:type="dxa"/>
              <w:bottom w:w="0" w:type="dxa"/>
              <w:right w:w="62" w:type="dxa"/>
            </w:tcMar>
          </w:tcPr>
          <w:p w:rsidR="00000000" w:rsidRDefault="00F16B6A" w:rsidP="00E32F1D">
            <w:pPr>
              <w:pStyle w:val="BodyText"/>
              <w:rPr>
                <w:lang w:val="en-NZ"/>
              </w:rPr>
            </w:pPr>
            <w:r w:rsidRPr="00E32F1D">
              <w:t xml:space="preserve">Methods and requirements to ensure management of speed and fatigue are explained </w:t>
            </w:r>
          </w:p>
        </w:tc>
      </w:tr>
      <w:tr w:rsidR="00000000" w:rsidTr="00F16B6A">
        <w:tc>
          <w:tcPr>
            <w:tcW w:w="0" w:type="auto"/>
            <w:vMerge/>
            <w:tcBorders>
              <w:top w:val="nil"/>
              <w:left w:val="nil"/>
              <w:bottom w:val="nil"/>
              <w:right w:val="nil"/>
            </w:tcBorders>
            <w:tcMar>
              <w:top w:w="0" w:type="dxa"/>
              <w:left w:w="62" w:type="dxa"/>
              <w:bottom w:w="0" w:type="dxa"/>
              <w:right w:w="62" w:type="dxa"/>
            </w:tcMar>
          </w:tcPr>
          <w:p w:rsidR="00000000" w:rsidRDefault="00F16B6A">
            <w:pPr>
              <w:pStyle w:val="BodyText"/>
              <w:keepLines w:val="0"/>
              <w:rPr>
                <w:rFonts w:ascii="Tahoma" w:hAnsi="Tahoma"/>
                <w:color w:val="000000"/>
                <w:sz w:val="20"/>
                <w:lang w:val="en-NZ"/>
              </w:rPr>
            </w:pPr>
          </w:p>
        </w:tc>
        <w:tc>
          <w:tcPr>
            <w:tcW w:w="0" w:type="auto"/>
            <w:vMerge/>
            <w:tcBorders>
              <w:top w:val="nil"/>
              <w:left w:val="nil"/>
              <w:bottom w:val="nil"/>
              <w:right w:val="nil"/>
            </w:tcBorders>
            <w:tcMar>
              <w:top w:w="0" w:type="dxa"/>
              <w:left w:w="62" w:type="dxa"/>
              <w:bottom w:w="0" w:type="dxa"/>
              <w:right w:w="62" w:type="dxa"/>
            </w:tcMar>
          </w:tcPr>
          <w:p w:rsidR="00000000" w:rsidRDefault="00F16B6A">
            <w:pPr>
              <w:pStyle w:val="BodyText"/>
              <w:keepLines w:val="0"/>
              <w:rPr>
                <w:rFonts w:ascii="Tahoma" w:hAnsi="Tahoma"/>
                <w:color w:val="000000"/>
                <w:sz w:val="20"/>
                <w:lang w:val="en-NZ"/>
              </w:rPr>
            </w:pPr>
          </w:p>
        </w:tc>
        <w:tc>
          <w:tcPr>
            <w:tcW w:w="0" w:type="auto"/>
            <w:tcBorders>
              <w:top w:val="nil"/>
              <w:left w:val="nil"/>
              <w:bottom w:val="nil"/>
              <w:right w:val="nil"/>
            </w:tcBorders>
            <w:tcMar>
              <w:top w:w="0" w:type="dxa"/>
              <w:left w:w="62" w:type="dxa"/>
              <w:bottom w:w="0" w:type="dxa"/>
              <w:right w:w="62" w:type="dxa"/>
            </w:tcMar>
          </w:tcPr>
          <w:p w:rsidR="00000000" w:rsidRDefault="00F16B6A" w:rsidP="00E32F1D">
            <w:pPr>
              <w:pStyle w:val="BodyText"/>
              <w:rPr>
                <w:lang w:val="en-NZ"/>
              </w:rPr>
            </w:pPr>
            <w:r w:rsidRPr="00E32F1D">
              <w:t>2.3</w:t>
            </w:r>
          </w:p>
        </w:tc>
        <w:tc>
          <w:tcPr>
            <w:tcW w:w="0" w:type="auto"/>
            <w:tcBorders>
              <w:top w:val="nil"/>
              <w:left w:val="nil"/>
              <w:bottom w:val="nil"/>
              <w:right w:val="nil"/>
            </w:tcBorders>
            <w:tcMar>
              <w:top w:w="0" w:type="dxa"/>
              <w:left w:w="62" w:type="dxa"/>
              <w:bottom w:w="0" w:type="dxa"/>
              <w:right w:w="62" w:type="dxa"/>
            </w:tcMar>
          </w:tcPr>
          <w:p w:rsidR="00000000" w:rsidRDefault="00F16B6A" w:rsidP="00E32F1D">
            <w:pPr>
              <w:pStyle w:val="BodyText"/>
              <w:rPr>
                <w:lang w:val="en-NZ"/>
              </w:rPr>
            </w:pPr>
            <w:r w:rsidRPr="00E32F1D">
              <w:t>Methods to calculate vehicle dimension and mass limits are explained</w:t>
            </w:r>
          </w:p>
        </w:tc>
      </w:tr>
      <w:tr w:rsidR="00000000" w:rsidTr="00F16B6A">
        <w:tc>
          <w:tcPr>
            <w:tcW w:w="0" w:type="auto"/>
            <w:vMerge/>
            <w:tcBorders>
              <w:top w:val="nil"/>
              <w:left w:val="nil"/>
              <w:bottom w:val="nil"/>
              <w:right w:val="nil"/>
            </w:tcBorders>
            <w:tcMar>
              <w:top w:w="0" w:type="dxa"/>
              <w:left w:w="62" w:type="dxa"/>
              <w:bottom w:w="0" w:type="dxa"/>
              <w:right w:w="62" w:type="dxa"/>
            </w:tcMar>
          </w:tcPr>
          <w:p w:rsidR="00000000" w:rsidRDefault="00F16B6A">
            <w:pPr>
              <w:pStyle w:val="BodyText"/>
              <w:keepLines w:val="0"/>
              <w:rPr>
                <w:rFonts w:ascii="Tahoma" w:hAnsi="Tahoma"/>
                <w:color w:val="000000"/>
                <w:sz w:val="20"/>
                <w:lang w:val="en-NZ"/>
              </w:rPr>
            </w:pPr>
          </w:p>
        </w:tc>
        <w:tc>
          <w:tcPr>
            <w:tcW w:w="0" w:type="auto"/>
            <w:vMerge/>
            <w:tcBorders>
              <w:top w:val="nil"/>
              <w:left w:val="nil"/>
              <w:bottom w:val="nil"/>
              <w:right w:val="nil"/>
            </w:tcBorders>
            <w:tcMar>
              <w:top w:w="0" w:type="dxa"/>
              <w:left w:w="62" w:type="dxa"/>
              <w:bottom w:w="0" w:type="dxa"/>
              <w:right w:w="62" w:type="dxa"/>
            </w:tcMar>
          </w:tcPr>
          <w:p w:rsidR="00000000" w:rsidRDefault="00F16B6A">
            <w:pPr>
              <w:pStyle w:val="BodyText"/>
              <w:keepLines w:val="0"/>
              <w:rPr>
                <w:rFonts w:ascii="Tahoma" w:hAnsi="Tahoma"/>
                <w:color w:val="000000"/>
                <w:sz w:val="20"/>
                <w:lang w:val="en-NZ"/>
              </w:rPr>
            </w:pPr>
          </w:p>
        </w:tc>
        <w:tc>
          <w:tcPr>
            <w:tcW w:w="0" w:type="auto"/>
            <w:tcBorders>
              <w:top w:val="nil"/>
              <w:left w:val="nil"/>
              <w:bottom w:val="nil"/>
              <w:right w:val="nil"/>
            </w:tcBorders>
            <w:tcMar>
              <w:top w:w="0" w:type="dxa"/>
              <w:left w:w="62" w:type="dxa"/>
              <w:bottom w:w="0" w:type="dxa"/>
              <w:right w:w="62" w:type="dxa"/>
            </w:tcMar>
          </w:tcPr>
          <w:p w:rsidR="00000000" w:rsidRDefault="00F16B6A" w:rsidP="00E32F1D">
            <w:pPr>
              <w:pStyle w:val="BodyText"/>
              <w:rPr>
                <w:lang w:val="en-NZ"/>
              </w:rPr>
            </w:pPr>
            <w:r w:rsidRPr="00E32F1D">
              <w:t>2.4</w:t>
            </w:r>
          </w:p>
        </w:tc>
        <w:tc>
          <w:tcPr>
            <w:tcW w:w="0" w:type="auto"/>
            <w:tcBorders>
              <w:top w:val="nil"/>
              <w:left w:val="nil"/>
              <w:bottom w:val="nil"/>
              <w:right w:val="nil"/>
            </w:tcBorders>
            <w:tcMar>
              <w:top w:w="0" w:type="dxa"/>
              <w:left w:w="62" w:type="dxa"/>
              <w:bottom w:w="0" w:type="dxa"/>
              <w:right w:w="62" w:type="dxa"/>
            </w:tcMar>
          </w:tcPr>
          <w:p w:rsidR="00000000" w:rsidRDefault="00F16B6A" w:rsidP="00E32F1D">
            <w:pPr>
              <w:pStyle w:val="BodyText"/>
              <w:rPr>
                <w:lang w:val="en-NZ"/>
              </w:rPr>
            </w:pPr>
            <w:r w:rsidRPr="00E32F1D">
              <w:t>Methods to ensure loads are secured are explained</w:t>
            </w:r>
          </w:p>
        </w:tc>
      </w:tr>
      <w:tr w:rsidR="00000000" w:rsidRPr="00E32F1D" w:rsidTr="00F16B6A">
        <w:tc>
          <w:tcPr>
            <w:tcW w:w="0" w:type="auto"/>
            <w:vMerge/>
            <w:tcBorders>
              <w:top w:val="nil"/>
              <w:left w:val="nil"/>
              <w:bottom w:val="nil"/>
              <w:right w:val="nil"/>
            </w:tcBorders>
            <w:tcMar>
              <w:top w:w="0" w:type="dxa"/>
              <w:left w:w="62" w:type="dxa"/>
              <w:bottom w:w="0" w:type="dxa"/>
              <w:right w:w="62" w:type="dxa"/>
            </w:tcMar>
          </w:tcPr>
          <w:p w:rsidR="00000000" w:rsidRDefault="00F16B6A">
            <w:pPr>
              <w:pStyle w:val="BodyText"/>
              <w:keepLines w:val="0"/>
              <w:rPr>
                <w:rFonts w:ascii="Tahoma" w:hAnsi="Tahoma"/>
                <w:color w:val="000000"/>
                <w:sz w:val="20"/>
                <w:lang w:val="en-NZ"/>
              </w:rPr>
            </w:pPr>
          </w:p>
        </w:tc>
        <w:tc>
          <w:tcPr>
            <w:tcW w:w="0" w:type="auto"/>
            <w:vMerge/>
            <w:tcBorders>
              <w:top w:val="nil"/>
              <w:left w:val="nil"/>
              <w:bottom w:val="nil"/>
              <w:right w:val="nil"/>
            </w:tcBorders>
            <w:tcMar>
              <w:top w:w="0" w:type="dxa"/>
              <w:left w:w="62" w:type="dxa"/>
              <w:bottom w:w="0" w:type="dxa"/>
              <w:right w:w="62" w:type="dxa"/>
            </w:tcMar>
          </w:tcPr>
          <w:p w:rsidR="00000000" w:rsidRDefault="00F16B6A">
            <w:pPr>
              <w:pStyle w:val="BodyText"/>
              <w:keepLines w:val="0"/>
              <w:rPr>
                <w:rFonts w:ascii="Tahoma" w:hAnsi="Tahoma"/>
                <w:color w:val="000000"/>
                <w:sz w:val="20"/>
                <w:lang w:val="en-NZ"/>
              </w:rPr>
            </w:pPr>
          </w:p>
        </w:tc>
        <w:tc>
          <w:tcPr>
            <w:tcW w:w="0" w:type="auto"/>
            <w:tcBorders>
              <w:top w:val="nil"/>
              <w:left w:val="nil"/>
              <w:bottom w:val="nil"/>
              <w:right w:val="nil"/>
            </w:tcBorders>
            <w:tcMar>
              <w:top w:w="0" w:type="dxa"/>
              <w:left w:w="62" w:type="dxa"/>
              <w:bottom w:w="0" w:type="dxa"/>
              <w:right w:w="62" w:type="dxa"/>
            </w:tcMar>
          </w:tcPr>
          <w:p w:rsidR="00000000" w:rsidRDefault="00F16B6A" w:rsidP="00E32F1D">
            <w:pPr>
              <w:pStyle w:val="BodyText"/>
              <w:rPr>
                <w:lang w:val="en-NZ"/>
              </w:rPr>
            </w:pPr>
            <w:r w:rsidRPr="00E32F1D">
              <w:t>2.5</w:t>
            </w:r>
          </w:p>
        </w:tc>
        <w:tc>
          <w:tcPr>
            <w:tcW w:w="0" w:type="auto"/>
            <w:tcBorders>
              <w:top w:val="nil"/>
              <w:left w:val="nil"/>
              <w:bottom w:val="nil"/>
              <w:right w:val="nil"/>
            </w:tcBorders>
            <w:tcMar>
              <w:top w:w="0" w:type="dxa"/>
              <w:left w:w="62" w:type="dxa"/>
              <w:bottom w:w="0" w:type="dxa"/>
              <w:right w:w="62" w:type="dxa"/>
            </w:tcMar>
          </w:tcPr>
          <w:p w:rsidR="00000000" w:rsidRDefault="00F16B6A" w:rsidP="00E32F1D">
            <w:pPr>
              <w:pStyle w:val="BodyText"/>
              <w:rPr>
                <w:lang w:val="en-NZ"/>
              </w:rPr>
            </w:pPr>
            <w:r w:rsidRPr="00E32F1D">
              <w:t>Workplace documents relating to chain of responsibility are completed and processed to workplace requirements</w:t>
            </w:r>
          </w:p>
        </w:tc>
      </w:tr>
      <w:tr w:rsidR="00000000" w:rsidTr="00F16B6A">
        <w:tc>
          <w:tcPr>
            <w:tcW w:w="0" w:type="auto"/>
            <w:vMerge w:val="restart"/>
            <w:tcBorders>
              <w:top w:val="nil"/>
              <w:left w:val="nil"/>
              <w:bottom w:val="nil"/>
              <w:right w:val="nil"/>
            </w:tcBorders>
            <w:tcMar>
              <w:top w:w="0" w:type="dxa"/>
              <w:left w:w="62" w:type="dxa"/>
              <w:bottom w:w="0" w:type="dxa"/>
              <w:right w:w="62" w:type="dxa"/>
            </w:tcMar>
          </w:tcPr>
          <w:p w:rsidR="00000000" w:rsidRPr="00E32F1D" w:rsidRDefault="00F16B6A" w:rsidP="00E32F1D">
            <w:pPr>
              <w:pStyle w:val="BodyText"/>
            </w:pPr>
            <w:r w:rsidRPr="00E32F1D">
              <w:rPr>
                <w:rStyle w:val="SpecialBold"/>
              </w:rPr>
              <w:t>3</w:t>
            </w:r>
          </w:p>
        </w:tc>
        <w:tc>
          <w:tcPr>
            <w:tcW w:w="0" w:type="auto"/>
            <w:vMerge w:val="restart"/>
            <w:tcBorders>
              <w:top w:val="nil"/>
              <w:left w:val="nil"/>
              <w:bottom w:val="nil"/>
              <w:right w:val="nil"/>
            </w:tcBorders>
            <w:tcMar>
              <w:top w:w="0" w:type="dxa"/>
              <w:left w:w="62" w:type="dxa"/>
              <w:bottom w:w="0" w:type="dxa"/>
              <w:right w:w="62" w:type="dxa"/>
            </w:tcMar>
          </w:tcPr>
          <w:p w:rsidR="00000000" w:rsidRDefault="00F16B6A" w:rsidP="00E32F1D">
            <w:pPr>
              <w:pStyle w:val="BodyText"/>
              <w:rPr>
                <w:lang w:val="en-NZ"/>
              </w:rPr>
            </w:pPr>
            <w:r w:rsidRPr="00E32F1D">
              <w:rPr>
                <w:rStyle w:val="SpecialBold"/>
              </w:rPr>
              <w:t xml:space="preserve">Identify and report chain of responsibility breaches </w:t>
            </w:r>
          </w:p>
        </w:tc>
        <w:tc>
          <w:tcPr>
            <w:tcW w:w="0" w:type="auto"/>
            <w:tcBorders>
              <w:top w:val="nil"/>
              <w:left w:val="nil"/>
              <w:bottom w:val="nil"/>
              <w:right w:val="nil"/>
            </w:tcBorders>
            <w:tcMar>
              <w:top w:w="0" w:type="dxa"/>
              <w:left w:w="62" w:type="dxa"/>
              <w:bottom w:w="0" w:type="dxa"/>
              <w:right w:w="62" w:type="dxa"/>
            </w:tcMar>
          </w:tcPr>
          <w:p w:rsidR="00000000" w:rsidRDefault="00F16B6A" w:rsidP="00E32F1D">
            <w:pPr>
              <w:pStyle w:val="BodyText"/>
              <w:rPr>
                <w:lang w:val="en-NZ"/>
              </w:rPr>
            </w:pPr>
            <w:r w:rsidRPr="00E32F1D">
              <w:t>3.1</w:t>
            </w:r>
          </w:p>
        </w:tc>
        <w:tc>
          <w:tcPr>
            <w:tcW w:w="0" w:type="auto"/>
            <w:tcBorders>
              <w:top w:val="nil"/>
              <w:left w:val="nil"/>
              <w:bottom w:val="nil"/>
              <w:right w:val="nil"/>
            </w:tcBorders>
            <w:tcMar>
              <w:top w:w="0" w:type="dxa"/>
              <w:left w:w="62" w:type="dxa"/>
              <w:bottom w:w="0" w:type="dxa"/>
              <w:right w:w="62" w:type="dxa"/>
            </w:tcMar>
          </w:tcPr>
          <w:p w:rsidR="00000000" w:rsidRDefault="00F16B6A" w:rsidP="00E32F1D">
            <w:pPr>
              <w:pStyle w:val="BodyText"/>
              <w:rPr>
                <w:lang w:val="en-NZ"/>
              </w:rPr>
            </w:pPr>
            <w:r w:rsidRPr="00E32F1D">
              <w:t>Chain of responsibility breaches are identified and explained</w:t>
            </w:r>
          </w:p>
        </w:tc>
      </w:tr>
      <w:tr w:rsidR="00000000" w:rsidRPr="00E32F1D" w:rsidTr="00F16B6A">
        <w:tc>
          <w:tcPr>
            <w:tcW w:w="0" w:type="auto"/>
            <w:vMerge/>
            <w:tcBorders>
              <w:top w:val="nil"/>
              <w:left w:val="nil"/>
              <w:bottom w:val="nil"/>
              <w:right w:val="nil"/>
            </w:tcBorders>
            <w:tcMar>
              <w:top w:w="0" w:type="dxa"/>
              <w:left w:w="62" w:type="dxa"/>
              <w:bottom w:w="0" w:type="dxa"/>
              <w:right w:w="62" w:type="dxa"/>
            </w:tcMar>
          </w:tcPr>
          <w:p w:rsidR="00000000" w:rsidRDefault="00F16B6A">
            <w:pPr>
              <w:pStyle w:val="BodyText"/>
              <w:keepLines w:val="0"/>
              <w:rPr>
                <w:rFonts w:ascii="Tahoma" w:hAnsi="Tahoma"/>
                <w:color w:val="000000"/>
                <w:sz w:val="20"/>
                <w:lang w:val="en-NZ"/>
              </w:rPr>
            </w:pPr>
          </w:p>
        </w:tc>
        <w:tc>
          <w:tcPr>
            <w:tcW w:w="0" w:type="auto"/>
            <w:vMerge/>
            <w:tcBorders>
              <w:top w:val="nil"/>
              <w:left w:val="nil"/>
              <w:bottom w:val="nil"/>
              <w:right w:val="nil"/>
            </w:tcBorders>
            <w:tcMar>
              <w:top w:w="0" w:type="dxa"/>
              <w:left w:w="62" w:type="dxa"/>
              <w:bottom w:w="0" w:type="dxa"/>
              <w:right w:w="62" w:type="dxa"/>
            </w:tcMar>
          </w:tcPr>
          <w:p w:rsidR="00000000" w:rsidRDefault="00F16B6A">
            <w:pPr>
              <w:pStyle w:val="BodyText"/>
              <w:keepLines w:val="0"/>
              <w:rPr>
                <w:rFonts w:ascii="Tahoma" w:hAnsi="Tahoma"/>
                <w:color w:val="000000"/>
                <w:sz w:val="20"/>
                <w:lang w:val="en-NZ"/>
              </w:rPr>
            </w:pPr>
          </w:p>
        </w:tc>
        <w:tc>
          <w:tcPr>
            <w:tcW w:w="0" w:type="auto"/>
            <w:tcBorders>
              <w:top w:val="nil"/>
              <w:left w:val="nil"/>
              <w:bottom w:val="nil"/>
              <w:right w:val="nil"/>
            </w:tcBorders>
            <w:tcMar>
              <w:top w:w="0" w:type="dxa"/>
              <w:left w:w="62" w:type="dxa"/>
              <w:bottom w:w="0" w:type="dxa"/>
              <w:right w:w="62" w:type="dxa"/>
            </w:tcMar>
          </w:tcPr>
          <w:p w:rsidR="00000000" w:rsidRDefault="00F16B6A" w:rsidP="00E32F1D">
            <w:pPr>
              <w:pStyle w:val="BodyText"/>
              <w:rPr>
                <w:lang w:val="en-NZ"/>
              </w:rPr>
            </w:pPr>
            <w:r w:rsidRPr="00E32F1D">
              <w:t>3.2</w:t>
            </w:r>
          </w:p>
        </w:tc>
        <w:tc>
          <w:tcPr>
            <w:tcW w:w="0" w:type="auto"/>
            <w:tcBorders>
              <w:top w:val="nil"/>
              <w:left w:val="nil"/>
              <w:bottom w:val="nil"/>
              <w:right w:val="nil"/>
            </w:tcBorders>
            <w:tcMar>
              <w:top w:w="0" w:type="dxa"/>
              <w:left w:w="62" w:type="dxa"/>
              <w:bottom w:w="0" w:type="dxa"/>
              <w:right w:w="62" w:type="dxa"/>
            </w:tcMar>
          </w:tcPr>
          <w:p w:rsidR="00000000" w:rsidRPr="00E32F1D" w:rsidRDefault="00F16B6A" w:rsidP="00E32F1D">
            <w:pPr>
              <w:pStyle w:val="BodyText"/>
            </w:pPr>
            <w:r w:rsidRPr="00E32F1D">
              <w:t>Workplace p</w:t>
            </w:r>
            <w:r w:rsidRPr="00E32F1D">
              <w:t>rocedures and industry practices for reporting chain of responsibility breaches are identified and followed</w:t>
            </w:r>
          </w:p>
        </w:tc>
      </w:tr>
    </w:tbl>
    <w:p w:rsidR="00F16B6A" w:rsidRDefault="00F16B6A" w:rsidP="00E32F1D">
      <w:pPr>
        <w:pStyle w:val="BodyText"/>
      </w:pPr>
    </w:p>
    <w:p w:rsidR="00F16B6A" w:rsidRDefault="00F16B6A" w:rsidP="00E32F1D">
      <w:pPr>
        <w:pStyle w:val="BodyText"/>
      </w:pPr>
    </w:p>
    <w:p w:rsidR="00000000" w:rsidRPr="00E32F1D" w:rsidRDefault="00F16B6A" w:rsidP="00E32F1D">
      <w:pPr>
        <w:pStyle w:val="Heading1"/>
      </w:pPr>
      <w:bookmarkStart w:id="7" w:name="O_740377"/>
      <w:bookmarkEnd w:id="7"/>
      <w:r w:rsidRPr="00E32F1D">
        <w:t>Foundation Skills</w:t>
      </w:r>
    </w:p>
    <w:p w:rsidR="00F16B6A" w:rsidRDefault="00F16B6A" w:rsidP="00F16B6A">
      <w:pPr>
        <w:pStyle w:val="BodyText"/>
      </w:pPr>
      <w:r w:rsidRPr="00E32F1D">
        <w:t>Foundation skills essential to performance are explicit in the performance criteria of this unit of competency.</w:t>
      </w:r>
    </w:p>
    <w:p w:rsidR="00000000" w:rsidRPr="00E32F1D" w:rsidRDefault="00F16B6A" w:rsidP="00E32F1D">
      <w:pPr>
        <w:pStyle w:val="Heading1"/>
      </w:pPr>
      <w:bookmarkStart w:id="8" w:name="O_740378"/>
      <w:bookmarkEnd w:id="8"/>
      <w:r w:rsidRPr="00E32F1D">
        <w:t>Range of Conditions</w:t>
      </w:r>
    </w:p>
    <w:p w:rsidR="00000000" w:rsidRPr="00E32F1D" w:rsidRDefault="00F16B6A" w:rsidP="00F16B6A">
      <w:pPr>
        <w:pStyle w:val="BodyText"/>
      </w:pPr>
      <w:r w:rsidRPr="00E32F1D">
        <w:t>Range is restricted to essential operating conditions and any other variables essential to the work enviro</w:t>
      </w:r>
      <w:r w:rsidRPr="00E32F1D">
        <w:t>nment.</w:t>
      </w:r>
    </w:p>
    <w:p w:rsidR="00F16B6A" w:rsidRDefault="00F16B6A" w:rsidP="00F16B6A">
      <w:pPr>
        <w:pStyle w:val="BodyText"/>
      </w:pPr>
      <w:r w:rsidRPr="00E32F1D">
        <w:t>Non-essential conditions can be found in the Companion Volume Implementation Guide.</w:t>
      </w:r>
    </w:p>
    <w:p w:rsidR="00000000" w:rsidRPr="00E32F1D" w:rsidRDefault="00F16B6A" w:rsidP="00E32F1D">
      <w:pPr>
        <w:pStyle w:val="Heading1"/>
      </w:pPr>
      <w:bookmarkStart w:id="9" w:name="O_740379"/>
      <w:bookmarkEnd w:id="9"/>
      <w:r w:rsidRPr="00E32F1D">
        <w:t>Unit Mapping Information</w:t>
      </w:r>
    </w:p>
    <w:p w:rsidR="00000000" w:rsidRPr="00E32F1D" w:rsidRDefault="00F16B6A" w:rsidP="00F16B6A">
      <w:pPr>
        <w:pStyle w:val="BodyText"/>
      </w:pPr>
      <w:r w:rsidRPr="00E32F1D">
        <w:t xml:space="preserve">This unit replaces but is </w:t>
      </w:r>
      <w:r w:rsidRPr="00E32F1D">
        <w:rPr>
          <w:rStyle w:val="SpecialBold"/>
        </w:rPr>
        <w:t xml:space="preserve">not </w:t>
      </w:r>
      <w:r w:rsidRPr="00E32F1D">
        <w:t>equivalent to TLIF2092A Demonstrate awareness of chain of responsibility regulations.</w:t>
      </w:r>
    </w:p>
    <w:p w:rsidR="00000000" w:rsidRPr="00E32F1D" w:rsidRDefault="00F16B6A" w:rsidP="00E32F1D">
      <w:pPr>
        <w:pStyle w:val="Heading1"/>
      </w:pPr>
      <w:bookmarkStart w:id="10" w:name="O_740386"/>
      <w:bookmarkEnd w:id="10"/>
      <w:r w:rsidRPr="00E32F1D">
        <w:t>Links</w:t>
      </w:r>
    </w:p>
    <w:p w:rsidR="00000000" w:rsidRPr="00E32F1D" w:rsidRDefault="00F16B6A" w:rsidP="00F16B6A">
      <w:pPr>
        <w:pStyle w:val="BodyText"/>
      </w:pPr>
      <w:r w:rsidRPr="00E32F1D">
        <w:t xml:space="preserve">Companion Volume implementation guides are found in VETNet - </w:t>
      </w:r>
      <w:hyperlink r:id="rId13" w:history="1">
        <w:r w:rsidRPr="001B5D2A">
          <w:rPr>
            <w:rStyle w:val="Hyperlink"/>
          </w:rPr>
          <w:t>https://vetnet.education.gov.au/Pages/TrainingDocs.aspx?q=df441c6e-213d-43e3-874c-0b3f7036d851</w:t>
        </w:r>
      </w:hyperlink>
    </w:p>
    <w:p w:rsidR="00000000" w:rsidRPr="00E32F1D" w:rsidRDefault="00F16B6A" w:rsidP="00E32F1D"/>
    <w:sectPr w:rsidR="00000000" w:rsidRPr="00E32F1D" w:rsidSect="00E32F1D">
      <w:headerReference w:type="default" r:id="rId14"/>
      <w:footerReference w:type="default" r:id="rId15"/>
      <w:pgSz w:w="11908" w:h="16833"/>
      <w:pgMar w:top="1700" w:right="1418" w:bottom="1700"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2F1D" w:rsidRDefault="00E32F1D" w:rsidP="00E32F1D">
      <w:r>
        <w:separator/>
      </w:r>
    </w:p>
  </w:endnote>
  <w:endnote w:type="continuationSeparator" w:id="0">
    <w:p w:rsidR="00E32F1D" w:rsidRDefault="00E32F1D" w:rsidP="00E32F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F1D" w:rsidRDefault="00E32F1D">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F1D" w:rsidRPr="00F16B6A" w:rsidRDefault="00E32F1D" w:rsidP="00F16B6A">
    <w:pPr>
      <w:pStyle w:val="BodyText"/>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F1D" w:rsidRDefault="00E32F1D">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B6A" w:rsidRDefault="00F16B6A" w:rsidP="00E32F1D">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4</w:t>
    </w:r>
    <w:r>
      <w:rPr>
        <w:noProof/>
      </w:rPr>
      <w:fldChar w:fldCharType="end"/>
    </w:r>
  </w:p>
  <w:p w:rsidR="00F16B6A" w:rsidRDefault="00F16B6A" w:rsidP="00E32F1D">
    <w:pPr>
      <w:pStyle w:val="Footer"/>
      <w:framePr w:wrap="around"/>
    </w:pPr>
    <w:r>
      <w:t xml:space="preserve">© Commonwealth of Australia, </w:t>
    </w:r>
    <w:r>
      <w:fldChar w:fldCharType="begin"/>
    </w:r>
    <w:r>
      <w:instrText xml:space="preserve"> DATE  \@ "yyyy"  \* MERGEFORMAT </w:instrText>
    </w:r>
    <w:r>
      <w:fldChar w:fldCharType="separate"/>
    </w:r>
    <w:r>
      <w:rPr>
        <w:noProof/>
      </w:rPr>
      <w:t>2019</w:t>
    </w:r>
    <w:r>
      <w:fldChar w:fldCharType="end"/>
    </w:r>
    <w:r>
      <w:tab/>
    </w:r>
    <w:fldSimple w:instr=" DOCPROPERTY  Author  \* MERGEFORMAT ">
      <w:r>
        <w:t>Australian Industry Standards</w:t>
      </w:r>
    </w:fldSimple>
  </w:p>
  <w:p w:rsidR="00F16B6A" w:rsidRDefault="00F16B6A" w:rsidP="00E32F1D">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2F1D" w:rsidRDefault="00E32F1D" w:rsidP="00E32F1D">
      <w:r>
        <w:separator/>
      </w:r>
    </w:p>
  </w:footnote>
  <w:footnote w:type="continuationSeparator" w:id="0">
    <w:p w:rsidR="00E32F1D" w:rsidRDefault="00E32F1D" w:rsidP="00E32F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F1D" w:rsidRDefault="00E32F1D">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B6A" w:rsidRDefault="00F16B6A"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6FEF4180" wp14:editId="48B0B06E">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rsidR="00E32F1D" w:rsidRPr="00F16B6A" w:rsidRDefault="00E32F1D" w:rsidP="00F16B6A">
    <w:pPr>
      <w:pStyle w:val="Body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F1D" w:rsidRDefault="00E32F1D">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B6A" w:rsidRPr="002D2AF8" w:rsidRDefault="00F16B6A" w:rsidP="00E32F1D">
    <w:pPr>
      <w:pStyle w:val="Header"/>
      <w:framePr w:wrap="around"/>
    </w:pPr>
    <w:fldSimple w:instr=" TITLE   \* MERGEFORMAT ">
      <w:r>
        <w:t>TLIF0001 Apply chain of responsibility legislation, regulations and workplace procedures</w:t>
      </w:r>
    </w:fldSimple>
    <w:r>
      <w:tab/>
      <w:t xml:space="preserve">Date this document was generated: </w:t>
    </w:r>
    <w:r>
      <w:fldChar w:fldCharType="begin"/>
    </w:r>
    <w:r>
      <w:instrText xml:space="preserve"> CREATEDATE  \@ "d MMMM yyyy"  \* MERGEFORMAT </w:instrText>
    </w:r>
    <w:r>
      <w:fldChar w:fldCharType="separate"/>
    </w:r>
    <w:r>
      <w:rPr>
        <w:noProof/>
      </w:rPr>
      <w:t>27 September 2019</w:t>
    </w:r>
    <w:r>
      <w:fldChar w:fldCharType="end"/>
    </w:r>
  </w:p>
  <w:p w:rsidR="00F16B6A" w:rsidRDefault="00F16B6A" w:rsidP="00E32F1D">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8">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1">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2">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4"/>
  </w:num>
  <w:num w:numId="2">
    <w:abstractNumId w:val="3"/>
  </w:num>
  <w:num w:numId="3">
    <w:abstractNumId w:val="2"/>
  </w:num>
  <w:num w:numId="4">
    <w:abstractNumId w:val="1"/>
  </w:num>
  <w:num w:numId="5">
    <w:abstractNumId w:val="0"/>
  </w:num>
  <w:num w:numId="6">
    <w:abstractNumId w:val="11"/>
  </w:num>
  <w:num w:numId="7">
    <w:abstractNumId w:val="8"/>
  </w:num>
  <w:num w:numId="8">
    <w:abstractNumId w:val="12"/>
  </w:num>
  <w:num w:numId="9">
    <w:abstractNumId w:val="6"/>
  </w:num>
  <w:num w:numId="10">
    <w:abstractNumId w:val="9"/>
  </w:num>
  <w:num w:numId="11">
    <w:abstractNumId w:val="7"/>
  </w:num>
  <w:num w:numId="12">
    <w:abstractNumId w:val="5"/>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E32F1D"/>
    <w:rsid w:val="00E32F1D"/>
    <w:rsid w:val="00F16B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table of figures" w:uiPriority="0"/>
    <w:lsdException w:name="page number"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2F1D"/>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E32F1D"/>
    <w:pPr>
      <w:spacing w:before="360" w:after="60"/>
      <w:outlineLvl w:val="0"/>
    </w:pPr>
    <w:rPr>
      <w:sz w:val="32"/>
    </w:rPr>
  </w:style>
  <w:style w:type="paragraph" w:styleId="Heading2">
    <w:name w:val="heading 2"/>
    <w:basedOn w:val="HeadingBase"/>
    <w:next w:val="BodyText"/>
    <w:link w:val="Heading2Char"/>
    <w:qFormat/>
    <w:rsid w:val="00E32F1D"/>
    <w:pPr>
      <w:keepLines/>
      <w:spacing w:before="240" w:after="120"/>
      <w:outlineLvl w:val="1"/>
    </w:pPr>
    <w:rPr>
      <w:sz w:val="28"/>
      <w:szCs w:val="40"/>
    </w:rPr>
  </w:style>
  <w:style w:type="paragraph" w:styleId="Heading3">
    <w:name w:val="heading 3"/>
    <w:basedOn w:val="HeadingBase"/>
    <w:next w:val="BodyText"/>
    <w:link w:val="Heading3Char"/>
    <w:qFormat/>
    <w:rsid w:val="00E32F1D"/>
    <w:pPr>
      <w:spacing w:before="180" w:after="120"/>
      <w:outlineLvl w:val="2"/>
    </w:pPr>
    <w:rPr>
      <w:spacing w:val="-10"/>
      <w:kern w:val="32"/>
    </w:rPr>
  </w:style>
  <w:style w:type="paragraph" w:styleId="Heading4">
    <w:name w:val="heading 4"/>
    <w:basedOn w:val="HeadingBase"/>
    <w:next w:val="BodyText"/>
    <w:link w:val="Heading4Char"/>
    <w:qFormat/>
    <w:rsid w:val="00E32F1D"/>
    <w:pPr>
      <w:spacing w:before="160" w:after="120"/>
      <w:outlineLvl w:val="3"/>
    </w:pPr>
    <w:rPr>
      <w:sz w:val="22"/>
    </w:rPr>
  </w:style>
  <w:style w:type="paragraph" w:styleId="Heading5">
    <w:name w:val="heading 5"/>
    <w:basedOn w:val="HeadingBase"/>
    <w:next w:val="Normal"/>
    <w:link w:val="Heading5Char"/>
    <w:qFormat/>
    <w:rsid w:val="00E32F1D"/>
    <w:pPr>
      <w:spacing w:before="80"/>
      <w:outlineLvl w:val="4"/>
    </w:pPr>
    <w:rPr>
      <w:color w:val="918585"/>
      <w:sz w:val="20"/>
    </w:rPr>
  </w:style>
  <w:style w:type="paragraph" w:styleId="Heading6">
    <w:name w:val="heading 6"/>
    <w:basedOn w:val="HeadingBase"/>
    <w:next w:val="Normal"/>
    <w:link w:val="Heading6Char"/>
    <w:qFormat/>
    <w:rsid w:val="00E32F1D"/>
    <w:pPr>
      <w:spacing w:before="60"/>
      <w:outlineLvl w:val="5"/>
    </w:pPr>
    <w:rPr>
      <w:color w:val="918585"/>
      <w:sz w:val="20"/>
    </w:rPr>
  </w:style>
  <w:style w:type="paragraph" w:styleId="Heading7">
    <w:name w:val="heading 7"/>
    <w:basedOn w:val="Normal"/>
    <w:next w:val="Normal"/>
    <w:link w:val="Heading7Char"/>
    <w:qFormat/>
    <w:rsid w:val="00E32F1D"/>
    <w:pPr>
      <w:ind w:left="720"/>
      <w:outlineLvl w:val="6"/>
    </w:pPr>
    <w:rPr>
      <w:i/>
    </w:rPr>
  </w:style>
  <w:style w:type="paragraph" w:styleId="Heading8">
    <w:name w:val="heading 8"/>
    <w:basedOn w:val="Normal"/>
    <w:next w:val="Normal"/>
    <w:link w:val="Heading8Char"/>
    <w:qFormat/>
    <w:rsid w:val="00E32F1D"/>
    <w:pPr>
      <w:ind w:left="720"/>
      <w:outlineLvl w:val="7"/>
    </w:pPr>
    <w:rPr>
      <w:i/>
    </w:rPr>
  </w:style>
  <w:style w:type="paragraph" w:styleId="Heading9">
    <w:name w:val="heading 9"/>
    <w:basedOn w:val="Normal"/>
    <w:next w:val="Normal"/>
    <w:link w:val="Heading9Char"/>
    <w:qFormat/>
    <w:rsid w:val="00E32F1D"/>
    <w:pPr>
      <w:ind w:left="720"/>
      <w:outlineLvl w:val="8"/>
    </w:pPr>
    <w:rPr>
      <w:i/>
    </w:rPr>
  </w:style>
  <w:style w:type="character" w:default="1" w:styleId="DefaultParagraphFont">
    <w:name w:val="Default Paragraph Font"/>
    <w:uiPriority w:val="1"/>
    <w:unhideWhenUsed/>
    <w:rsid w:val="00E32F1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E32F1D"/>
  </w:style>
  <w:style w:type="character" w:customStyle="1" w:styleId="Heading1Char">
    <w:name w:val="Heading 1 Char"/>
    <w:basedOn w:val="DefaultParagraphFont"/>
    <w:link w:val="Heading1"/>
    <w:rsid w:val="00E32F1D"/>
    <w:rPr>
      <w:rFonts w:ascii="Times New Roman" w:eastAsia="Times New Roman" w:hAnsi="Times New Roman" w:cs="Times New Roman"/>
      <w:b/>
      <w:sz w:val="32"/>
      <w:szCs w:val="20"/>
      <w:lang w:eastAsia="en-US"/>
    </w:rPr>
  </w:style>
  <w:style w:type="paragraph" w:styleId="BodyText">
    <w:name w:val="Body Text"/>
    <w:basedOn w:val="Normal"/>
    <w:link w:val="BodyTextChar"/>
    <w:rsid w:val="00E32F1D"/>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E32F1D"/>
    <w:rPr>
      <w:rFonts w:ascii="Times New Roman" w:eastAsia="Times New Roman" w:hAnsi="Times New Roman" w:cs="Times New Roman"/>
      <w:sz w:val="24"/>
      <w:lang w:eastAsia="en-US"/>
    </w:rPr>
  </w:style>
  <w:style w:type="character" w:customStyle="1" w:styleId="SpecialBold">
    <w:name w:val="Special Bold"/>
    <w:basedOn w:val="DefaultParagraphFont"/>
    <w:rsid w:val="00E32F1D"/>
    <w:rPr>
      <w:b/>
      <w:spacing w:val="0"/>
    </w:rPr>
  </w:style>
  <w:style w:type="paragraph" w:customStyle="1" w:styleId="SuperHeading">
    <w:name w:val="SuperHeading"/>
    <w:basedOn w:val="Normal"/>
    <w:rsid w:val="00E32F1D"/>
    <w:pPr>
      <w:spacing w:before="240" w:after="120"/>
      <w:outlineLvl w:val="0"/>
    </w:pPr>
    <w:rPr>
      <w:rFonts w:ascii="Times New Roman" w:hAnsi="Times New Roman"/>
      <w:b/>
      <w:sz w:val="32"/>
    </w:rPr>
  </w:style>
  <w:style w:type="paragraph" w:customStyle="1" w:styleId="AllowPageBreak">
    <w:name w:val="AllowPageBreak"/>
    <w:rsid w:val="00E32F1D"/>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E32F1D"/>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E32F1D"/>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E32F1D"/>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E32F1D"/>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E32F1D"/>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E32F1D"/>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E32F1D"/>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E32F1D"/>
    <w:rPr>
      <w:rFonts w:ascii="Courier New" w:eastAsia="Times New Roman" w:hAnsi="Courier New" w:cs="Times New Roman"/>
      <w:i/>
      <w:szCs w:val="20"/>
      <w:lang w:eastAsia="en-US"/>
    </w:rPr>
  </w:style>
  <w:style w:type="paragraph" w:customStyle="1" w:styleId="HeadingBase">
    <w:name w:val="Heading Base"/>
    <w:rsid w:val="00E32F1D"/>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E32F1D"/>
    <w:pPr>
      <w:tabs>
        <w:tab w:val="right" w:leader="dot" w:pos="9072"/>
      </w:tabs>
      <w:ind w:left="567"/>
    </w:pPr>
    <w:rPr>
      <w:szCs w:val="22"/>
    </w:rPr>
  </w:style>
  <w:style w:type="paragraph" w:customStyle="1" w:styleId="TOCBase">
    <w:name w:val="TOC Base"/>
    <w:rsid w:val="00E32F1D"/>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E32F1D"/>
    <w:pPr>
      <w:tabs>
        <w:tab w:val="right" w:leader="dot" w:pos="9072"/>
      </w:tabs>
      <w:spacing w:before="40" w:after="40"/>
      <w:ind w:left="284"/>
    </w:pPr>
    <w:rPr>
      <w:rFonts w:ascii="Times New Roman" w:hAnsi="Times New Roman"/>
    </w:rPr>
  </w:style>
  <w:style w:type="paragraph" w:styleId="TOC1">
    <w:name w:val="toc 1"/>
    <w:basedOn w:val="TOCBase"/>
    <w:next w:val="Normal"/>
    <w:rsid w:val="00E32F1D"/>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E32F1D"/>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E32F1D"/>
    <w:rPr>
      <w:rFonts w:ascii="Times New Roman" w:eastAsia="Times New Roman" w:hAnsi="Times New Roman" w:cs="Times New Roman"/>
      <w:sz w:val="16"/>
      <w:lang w:eastAsia="en-US"/>
    </w:rPr>
  </w:style>
  <w:style w:type="paragraph" w:styleId="Title">
    <w:name w:val="Title"/>
    <w:basedOn w:val="HeadingBase"/>
    <w:link w:val="TitleChar"/>
    <w:qFormat/>
    <w:rsid w:val="00E32F1D"/>
    <w:pPr>
      <w:spacing w:before="5040"/>
      <w:jc w:val="center"/>
    </w:pPr>
    <w:rPr>
      <w:sz w:val="48"/>
      <w:szCs w:val="72"/>
      <w:lang w:val="en-US"/>
    </w:rPr>
  </w:style>
  <w:style w:type="character" w:customStyle="1" w:styleId="TitleChar">
    <w:name w:val="Title Char"/>
    <w:basedOn w:val="DefaultParagraphFont"/>
    <w:link w:val="Title"/>
    <w:rsid w:val="00E32F1D"/>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E32F1D"/>
    <w:pPr>
      <w:tabs>
        <w:tab w:val="left" w:pos="3600"/>
        <w:tab w:val="left" w:pos="3958"/>
      </w:tabs>
    </w:pPr>
  </w:style>
  <w:style w:type="paragraph" w:styleId="List">
    <w:name w:val="List"/>
    <w:basedOn w:val="BodyText"/>
    <w:next w:val="BodyText"/>
    <w:rsid w:val="00E32F1D"/>
    <w:pPr>
      <w:tabs>
        <w:tab w:val="left" w:pos="340"/>
      </w:tabs>
      <w:spacing w:before="60" w:after="60"/>
      <w:ind w:left="340" w:hanging="340"/>
    </w:pPr>
  </w:style>
  <w:style w:type="paragraph" w:styleId="ListBullet">
    <w:name w:val="List Bullet"/>
    <w:basedOn w:val="List"/>
    <w:rsid w:val="00E32F1D"/>
    <w:pPr>
      <w:numPr>
        <w:numId w:val="10"/>
      </w:numPr>
      <w:tabs>
        <w:tab w:val="clear" w:pos="340"/>
      </w:tabs>
      <w:spacing w:before="40" w:after="40"/>
    </w:pPr>
  </w:style>
  <w:style w:type="paragraph" w:customStyle="1" w:styleId="Note">
    <w:name w:val="Note"/>
    <w:basedOn w:val="BodyText"/>
    <w:rsid w:val="00E32F1D"/>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E32F1D"/>
    <w:pPr>
      <w:framePr w:wrap="auto" w:hAnchor="text" w:y="6049"/>
    </w:pPr>
    <w:rPr>
      <w:color w:val="000000"/>
      <w:sz w:val="40"/>
    </w:rPr>
  </w:style>
  <w:style w:type="paragraph" w:customStyle="1" w:styleId="TOCTitle">
    <w:name w:val="TOCTitle"/>
    <w:basedOn w:val="Heading1"/>
    <w:rsid w:val="00E32F1D"/>
    <w:pPr>
      <w:spacing w:after="240"/>
      <w:jc w:val="center"/>
      <w:outlineLvl w:val="9"/>
    </w:pPr>
    <w:rPr>
      <w:caps/>
    </w:rPr>
  </w:style>
  <w:style w:type="paragraph" w:customStyle="1" w:styleId="Version">
    <w:name w:val="Version"/>
    <w:rsid w:val="00E32F1D"/>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E32F1D"/>
    <w:pPr>
      <w:numPr>
        <w:numId w:val="11"/>
      </w:numPr>
      <w:tabs>
        <w:tab w:val="clear" w:pos="680"/>
      </w:tabs>
    </w:pPr>
  </w:style>
  <w:style w:type="paragraph" w:styleId="Index1">
    <w:name w:val="index 1"/>
    <w:basedOn w:val="Normal"/>
    <w:next w:val="Normal"/>
    <w:semiHidden/>
    <w:rsid w:val="00E32F1D"/>
    <w:pPr>
      <w:keepNext w:val="0"/>
      <w:tabs>
        <w:tab w:val="right" w:pos="4176"/>
      </w:tabs>
      <w:ind w:left="198" w:hanging="198"/>
    </w:pPr>
    <w:rPr>
      <w:rFonts w:ascii="Garamond" w:hAnsi="Garamond"/>
    </w:rPr>
  </w:style>
  <w:style w:type="paragraph" w:styleId="IndexHeading">
    <w:name w:val="index heading"/>
    <w:basedOn w:val="Normal"/>
    <w:next w:val="Index1"/>
    <w:semiHidden/>
    <w:rsid w:val="00E32F1D"/>
    <w:pPr>
      <w:spacing w:before="120" w:after="120"/>
    </w:pPr>
    <w:rPr>
      <w:rFonts w:ascii="Arial" w:hAnsi="Arial"/>
      <w:b/>
      <w:color w:val="918585"/>
      <w:sz w:val="24"/>
    </w:rPr>
  </w:style>
  <w:style w:type="paragraph" w:styleId="Header">
    <w:name w:val="header"/>
    <w:basedOn w:val="Normal"/>
    <w:link w:val="HeaderChar"/>
    <w:rsid w:val="00E32F1D"/>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E32F1D"/>
    <w:rPr>
      <w:rFonts w:ascii="Times New Roman" w:eastAsia="Times New Roman" w:hAnsi="Times New Roman" w:cs="Times New Roman"/>
      <w:sz w:val="16"/>
      <w:szCs w:val="20"/>
      <w:lang w:val="en-GB" w:eastAsia="en-US"/>
    </w:rPr>
  </w:style>
  <w:style w:type="paragraph" w:customStyle="1" w:styleId="Chapter">
    <w:name w:val="Chapter"/>
    <w:basedOn w:val="Normal"/>
    <w:rsid w:val="00E32F1D"/>
    <w:pPr>
      <w:spacing w:before="240"/>
    </w:pPr>
    <w:rPr>
      <w:rFonts w:ascii="Times New Roman" w:hAnsi="Times New Roman"/>
      <w:smallCaps/>
      <w:spacing w:val="80"/>
      <w:sz w:val="28"/>
    </w:rPr>
  </w:style>
  <w:style w:type="paragraph" w:customStyle="1" w:styleId="InChapter">
    <w:name w:val="InChapter"/>
    <w:basedOn w:val="Heading3"/>
    <w:rsid w:val="00E32F1D"/>
    <w:pPr>
      <w:spacing w:after="240"/>
      <w:outlineLvl w:val="9"/>
    </w:pPr>
    <w:rPr>
      <w:noProof/>
    </w:rPr>
  </w:style>
  <w:style w:type="paragraph" w:styleId="Index2">
    <w:name w:val="index 2"/>
    <w:basedOn w:val="Normal"/>
    <w:next w:val="Normal"/>
    <w:semiHidden/>
    <w:rsid w:val="00E32F1D"/>
    <w:pPr>
      <w:tabs>
        <w:tab w:val="right" w:pos="4176"/>
      </w:tabs>
      <w:ind w:left="568" w:hanging="284"/>
    </w:pPr>
    <w:rPr>
      <w:rFonts w:ascii="Garamond" w:hAnsi="Garamond"/>
    </w:rPr>
  </w:style>
  <w:style w:type="paragraph" w:customStyle="1" w:styleId="Byline">
    <w:name w:val="Byline"/>
    <w:rsid w:val="00E32F1D"/>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E32F1D"/>
    <w:pPr>
      <w:tabs>
        <w:tab w:val="clear" w:pos="3600"/>
        <w:tab w:val="clear" w:pos="3958"/>
      </w:tabs>
      <w:jc w:val="right"/>
    </w:pPr>
  </w:style>
  <w:style w:type="character" w:styleId="Emphasis">
    <w:name w:val="Emphasis"/>
    <w:basedOn w:val="DefaultParagraphFont"/>
    <w:qFormat/>
    <w:rsid w:val="00E32F1D"/>
    <w:rPr>
      <w:i/>
    </w:rPr>
  </w:style>
  <w:style w:type="paragraph" w:styleId="Caption">
    <w:name w:val="caption"/>
    <w:basedOn w:val="BodyText"/>
    <w:next w:val="Normal"/>
    <w:qFormat/>
    <w:rsid w:val="00E32F1D"/>
    <w:pPr>
      <w:framePr w:w="2268" w:hSpace="181" w:vSpace="181" w:wrap="around" w:vAnchor="text" w:hAnchor="page" w:x="1135" w:y="285" w:anchorLock="1"/>
    </w:pPr>
    <w:rPr>
      <w:i/>
    </w:rPr>
  </w:style>
  <w:style w:type="paragraph" w:customStyle="1" w:styleId="MiniTOCTitle">
    <w:name w:val="MiniTOCTitle"/>
    <w:basedOn w:val="Heading4"/>
    <w:rsid w:val="00E32F1D"/>
    <w:pPr>
      <w:spacing w:before="240"/>
      <w:outlineLvl w:val="9"/>
    </w:pPr>
    <w:rPr>
      <w:noProof/>
      <w:sz w:val="24"/>
    </w:rPr>
  </w:style>
  <w:style w:type="paragraph" w:customStyle="1" w:styleId="MiniTOCItem">
    <w:name w:val="MiniTOCItem"/>
    <w:basedOn w:val="ListBullet"/>
    <w:rsid w:val="00E32F1D"/>
    <w:pPr>
      <w:numPr>
        <w:numId w:val="0"/>
      </w:numPr>
      <w:tabs>
        <w:tab w:val="right" w:leader="dot" w:pos="6521"/>
      </w:tabs>
      <w:spacing w:before="0" w:after="0"/>
    </w:pPr>
  </w:style>
  <w:style w:type="paragraph" w:customStyle="1" w:styleId="TOFTitle">
    <w:name w:val="TOFTitle"/>
    <w:basedOn w:val="TOCTitle"/>
    <w:rsid w:val="00E32F1D"/>
  </w:style>
  <w:style w:type="paragraph" w:styleId="TableofFigures">
    <w:name w:val="table of figures"/>
    <w:basedOn w:val="Normal"/>
    <w:next w:val="Normal"/>
    <w:semiHidden/>
    <w:rsid w:val="00E32F1D"/>
    <w:pPr>
      <w:tabs>
        <w:tab w:val="right" w:leader="dot" w:pos="9072"/>
      </w:tabs>
      <w:ind w:left="970" w:hanging="403"/>
    </w:pPr>
    <w:rPr>
      <w:rFonts w:ascii="Times New Roman" w:hAnsi="Times New Roman"/>
      <w:b/>
    </w:rPr>
  </w:style>
  <w:style w:type="paragraph" w:styleId="ListNumber">
    <w:name w:val="List Number"/>
    <w:basedOn w:val="List"/>
    <w:rsid w:val="00E32F1D"/>
    <w:pPr>
      <w:numPr>
        <w:numId w:val="13"/>
      </w:numPr>
      <w:tabs>
        <w:tab w:val="clear" w:pos="340"/>
      </w:tabs>
    </w:pPr>
  </w:style>
  <w:style w:type="character" w:customStyle="1" w:styleId="WingdingSymbols">
    <w:name w:val="Wingding Symbols"/>
    <w:rsid w:val="00E32F1D"/>
    <w:rPr>
      <w:rFonts w:ascii="Wingdings" w:hAnsi="Wingdings"/>
    </w:rPr>
  </w:style>
  <w:style w:type="paragraph" w:customStyle="1" w:styleId="TableHeading">
    <w:name w:val="Table Heading"/>
    <w:basedOn w:val="HeadingBase"/>
    <w:rsid w:val="00E32F1D"/>
    <w:pPr>
      <w:keepLines/>
      <w:pBdr>
        <w:bottom w:val="single" w:sz="6" w:space="1" w:color="918585"/>
      </w:pBdr>
      <w:spacing w:before="240"/>
    </w:pPr>
  </w:style>
  <w:style w:type="character" w:customStyle="1" w:styleId="HotSpot">
    <w:name w:val="HotSpot"/>
    <w:rsid w:val="00E32F1D"/>
    <w:rPr>
      <w:color w:val="0033CC"/>
      <w:u w:val="none"/>
    </w:rPr>
  </w:style>
  <w:style w:type="paragraph" w:customStyle="1" w:styleId="BodyTextRight">
    <w:name w:val="Body Text Right"/>
    <w:basedOn w:val="BodyText"/>
    <w:rsid w:val="00E32F1D"/>
    <w:pPr>
      <w:spacing w:before="0" w:after="0"/>
      <w:jc w:val="right"/>
    </w:pPr>
  </w:style>
  <w:style w:type="paragraph" w:styleId="Index3">
    <w:name w:val="index 3"/>
    <w:basedOn w:val="ListNumber2"/>
    <w:next w:val="Normal"/>
    <w:semiHidden/>
    <w:rsid w:val="00E32F1D"/>
    <w:pPr>
      <w:numPr>
        <w:numId w:val="0"/>
      </w:numPr>
      <w:tabs>
        <w:tab w:val="right" w:leader="dot" w:pos="4176"/>
      </w:tabs>
    </w:pPr>
  </w:style>
  <w:style w:type="paragraph" w:styleId="ListNumber2">
    <w:name w:val="List Number 2"/>
    <w:basedOn w:val="List2"/>
    <w:rsid w:val="00E32F1D"/>
    <w:pPr>
      <w:numPr>
        <w:numId w:val="8"/>
      </w:numPr>
      <w:tabs>
        <w:tab w:val="clear" w:pos="1060"/>
      </w:tabs>
    </w:pPr>
  </w:style>
  <w:style w:type="paragraph" w:customStyle="1" w:styleId="MarginNote">
    <w:name w:val="Margin Note"/>
    <w:basedOn w:val="BodyText"/>
    <w:rsid w:val="00E32F1D"/>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E32F1D"/>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E32F1D"/>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E32F1D"/>
    <w:rPr>
      <w:sz w:val="32"/>
    </w:rPr>
  </w:style>
  <w:style w:type="paragraph" w:customStyle="1" w:styleId="HeadingProcedure">
    <w:name w:val="Heading Procedure"/>
    <w:basedOn w:val="HeadingBase"/>
    <w:next w:val="Normal"/>
    <w:rsid w:val="00E32F1D"/>
    <w:pPr>
      <w:tabs>
        <w:tab w:val="left" w:pos="0"/>
      </w:tabs>
      <w:spacing w:before="120" w:after="60"/>
    </w:pPr>
    <w:rPr>
      <w:i/>
      <w:color w:val="918585"/>
      <w:sz w:val="22"/>
    </w:rPr>
  </w:style>
  <w:style w:type="paragraph" w:customStyle="1" w:styleId="TableBodyText">
    <w:name w:val="Table Body Text"/>
    <w:basedOn w:val="BodyText"/>
    <w:rsid w:val="00E32F1D"/>
    <w:pPr>
      <w:spacing w:before="60" w:after="60"/>
    </w:pPr>
  </w:style>
  <w:style w:type="paragraph" w:styleId="ListContinue">
    <w:name w:val="List Continue"/>
    <w:basedOn w:val="List"/>
    <w:rsid w:val="00E32F1D"/>
    <w:pPr>
      <w:ind w:firstLine="0"/>
    </w:pPr>
  </w:style>
  <w:style w:type="paragraph" w:customStyle="1" w:styleId="ListNote">
    <w:name w:val="List Note"/>
    <w:basedOn w:val="List"/>
    <w:rsid w:val="00E32F1D"/>
    <w:pPr>
      <w:pBdr>
        <w:top w:val="single" w:sz="6" w:space="2" w:color="918585"/>
        <w:bottom w:val="single" w:sz="6" w:space="2" w:color="918585"/>
      </w:pBdr>
      <w:tabs>
        <w:tab w:val="left" w:pos="1021"/>
      </w:tabs>
      <w:ind w:firstLine="0"/>
    </w:pPr>
  </w:style>
  <w:style w:type="paragraph" w:customStyle="1" w:styleId="Warning">
    <w:name w:val="Warning"/>
    <w:basedOn w:val="BodyText"/>
    <w:rsid w:val="00E32F1D"/>
    <w:pPr>
      <w:shd w:val="clear" w:color="auto" w:fill="D9D9D9"/>
      <w:tabs>
        <w:tab w:val="left" w:pos="992"/>
      </w:tabs>
      <w:ind w:left="119" w:right="119"/>
    </w:pPr>
    <w:rPr>
      <w:sz w:val="20"/>
    </w:rPr>
  </w:style>
  <w:style w:type="paragraph" w:customStyle="1" w:styleId="MarginIcons">
    <w:name w:val="Margin Icons"/>
    <w:basedOn w:val="BodyText"/>
    <w:rsid w:val="00E32F1D"/>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E32F1D"/>
    <w:rPr>
      <w:rFonts w:ascii="Courier New" w:hAnsi="Courier New"/>
    </w:rPr>
  </w:style>
  <w:style w:type="paragraph" w:customStyle="1" w:styleId="NoteBullet">
    <w:name w:val="Note Bullet"/>
    <w:basedOn w:val="Note"/>
    <w:rsid w:val="00E32F1D"/>
    <w:pPr>
      <w:tabs>
        <w:tab w:val="clear" w:pos="680"/>
      </w:tabs>
      <w:spacing w:before="60" w:after="60"/>
    </w:pPr>
  </w:style>
  <w:style w:type="paragraph" w:customStyle="1" w:styleId="SubHeading2">
    <w:name w:val="SubHeading2"/>
    <w:basedOn w:val="HeadingBase"/>
    <w:rsid w:val="00E32F1D"/>
    <w:pPr>
      <w:spacing w:before="240" w:after="60"/>
    </w:pPr>
    <w:rPr>
      <w:sz w:val="20"/>
    </w:rPr>
  </w:style>
  <w:style w:type="paragraph" w:customStyle="1" w:styleId="SubHeading1">
    <w:name w:val="SubHeading1"/>
    <w:basedOn w:val="HeadingBase"/>
    <w:rsid w:val="00E32F1D"/>
    <w:pPr>
      <w:spacing w:before="240" w:after="60"/>
    </w:pPr>
    <w:rPr>
      <w:color w:val="918585"/>
      <w:sz w:val="22"/>
    </w:rPr>
  </w:style>
  <w:style w:type="paragraph" w:customStyle="1" w:styleId="SideHeading">
    <w:name w:val="Side Heading"/>
    <w:basedOn w:val="HeadingBase"/>
    <w:rsid w:val="00E32F1D"/>
    <w:pPr>
      <w:framePr w:w="2268" w:h="567" w:hSpace="181" w:vSpace="181" w:wrap="around" w:vAnchor="text" w:hAnchor="page" w:x="1419" w:y="370" w:anchorLock="1"/>
    </w:pPr>
    <w:rPr>
      <w:sz w:val="22"/>
    </w:rPr>
  </w:style>
  <w:style w:type="paragraph" w:customStyle="1" w:styleId="TableListBullet">
    <w:name w:val="Table List Bullet"/>
    <w:basedOn w:val="ListBullet"/>
    <w:rsid w:val="00E32F1D"/>
    <w:pPr>
      <w:numPr>
        <w:numId w:val="9"/>
      </w:numPr>
    </w:pPr>
  </w:style>
  <w:style w:type="paragraph" w:styleId="PlainText">
    <w:name w:val="Plain Text"/>
    <w:basedOn w:val="Normal"/>
    <w:link w:val="PlainTextChar"/>
    <w:rsid w:val="00E32F1D"/>
    <w:rPr>
      <w:sz w:val="20"/>
    </w:rPr>
  </w:style>
  <w:style w:type="character" w:customStyle="1" w:styleId="PlainTextChar">
    <w:name w:val="Plain Text Char"/>
    <w:basedOn w:val="DefaultParagraphFont"/>
    <w:link w:val="PlainText"/>
    <w:rsid w:val="00E32F1D"/>
    <w:rPr>
      <w:rFonts w:ascii="Courier New" w:eastAsia="Times New Roman" w:hAnsi="Courier New" w:cs="Times New Roman"/>
      <w:sz w:val="20"/>
      <w:szCs w:val="20"/>
      <w:lang w:eastAsia="en-US"/>
    </w:rPr>
  </w:style>
  <w:style w:type="character" w:customStyle="1" w:styleId="MenuOption">
    <w:name w:val="Menu Option"/>
    <w:basedOn w:val="DefaultParagraphFont"/>
    <w:rsid w:val="00E32F1D"/>
    <w:rPr>
      <w:b/>
      <w:smallCaps/>
    </w:rPr>
  </w:style>
  <w:style w:type="paragraph" w:customStyle="1" w:styleId="TableListNumber">
    <w:name w:val="Table List Number"/>
    <w:basedOn w:val="ListNumber"/>
    <w:rsid w:val="00E32F1D"/>
    <w:pPr>
      <w:numPr>
        <w:numId w:val="0"/>
      </w:numPr>
    </w:pPr>
  </w:style>
  <w:style w:type="paragraph" w:styleId="TOC4">
    <w:name w:val="toc 4"/>
    <w:basedOn w:val="TOCBase"/>
    <w:next w:val="Normal"/>
    <w:semiHidden/>
    <w:rsid w:val="00E32F1D"/>
    <w:pPr>
      <w:tabs>
        <w:tab w:val="right" w:leader="dot" w:pos="9071"/>
      </w:tabs>
      <w:ind w:left="1701"/>
    </w:pPr>
  </w:style>
  <w:style w:type="paragraph" w:customStyle="1" w:styleId="ListAlpha">
    <w:name w:val="List Alpha"/>
    <w:basedOn w:val="List"/>
    <w:rsid w:val="00E32F1D"/>
    <w:pPr>
      <w:numPr>
        <w:numId w:val="7"/>
      </w:numPr>
    </w:pPr>
  </w:style>
  <w:style w:type="paragraph" w:customStyle="1" w:styleId="ListAlpha2">
    <w:name w:val="List Alpha 2"/>
    <w:basedOn w:val="List2"/>
    <w:rsid w:val="00E32F1D"/>
    <w:pPr>
      <w:numPr>
        <w:numId w:val="6"/>
      </w:numPr>
    </w:pPr>
  </w:style>
  <w:style w:type="paragraph" w:styleId="List2">
    <w:name w:val="List 2"/>
    <w:basedOn w:val="BodyText"/>
    <w:rsid w:val="00E32F1D"/>
    <w:pPr>
      <w:tabs>
        <w:tab w:val="left" w:pos="680"/>
      </w:tabs>
      <w:spacing w:before="60" w:after="60"/>
      <w:ind w:left="680" w:hanging="340"/>
    </w:pPr>
  </w:style>
  <w:style w:type="paragraph" w:styleId="List3">
    <w:name w:val="List 3"/>
    <w:basedOn w:val="BodyText"/>
    <w:rsid w:val="00E32F1D"/>
    <w:pPr>
      <w:tabs>
        <w:tab w:val="left" w:pos="1021"/>
      </w:tabs>
      <w:spacing w:before="60" w:after="60"/>
      <w:ind w:left="1020" w:hanging="340"/>
    </w:pPr>
  </w:style>
  <w:style w:type="paragraph" w:styleId="List4">
    <w:name w:val="List 4"/>
    <w:basedOn w:val="BodyText"/>
    <w:rsid w:val="00E32F1D"/>
    <w:pPr>
      <w:tabs>
        <w:tab w:val="left" w:pos="1361"/>
      </w:tabs>
      <w:spacing w:before="60" w:after="60"/>
      <w:ind w:left="1361" w:hanging="340"/>
    </w:pPr>
  </w:style>
  <w:style w:type="paragraph" w:styleId="List5">
    <w:name w:val="List 5"/>
    <w:basedOn w:val="BodyText"/>
    <w:rsid w:val="00E32F1D"/>
    <w:pPr>
      <w:tabs>
        <w:tab w:val="left" w:pos="1701"/>
      </w:tabs>
      <w:spacing w:before="60" w:after="60"/>
      <w:ind w:left="1701" w:hanging="340"/>
    </w:pPr>
  </w:style>
  <w:style w:type="paragraph" w:styleId="ListBullet3">
    <w:name w:val="List Bullet 3"/>
    <w:basedOn w:val="List3"/>
    <w:rsid w:val="00E32F1D"/>
    <w:pPr>
      <w:numPr>
        <w:numId w:val="12"/>
      </w:numPr>
      <w:tabs>
        <w:tab w:val="clear" w:pos="1021"/>
      </w:tabs>
      <w:ind w:left="1037" w:hanging="357"/>
    </w:pPr>
  </w:style>
  <w:style w:type="paragraph" w:styleId="ListBullet4">
    <w:name w:val="List Bullet 4"/>
    <w:basedOn w:val="List4"/>
    <w:rsid w:val="00E32F1D"/>
    <w:pPr>
      <w:numPr>
        <w:numId w:val="1"/>
      </w:numPr>
      <w:tabs>
        <w:tab w:val="clear" w:pos="1361"/>
      </w:tabs>
    </w:pPr>
  </w:style>
  <w:style w:type="paragraph" w:styleId="ListBullet5">
    <w:name w:val="List Bullet 5"/>
    <w:basedOn w:val="List5"/>
    <w:rsid w:val="00E32F1D"/>
    <w:pPr>
      <w:numPr>
        <w:numId w:val="2"/>
      </w:numPr>
    </w:pPr>
  </w:style>
  <w:style w:type="paragraph" w:styleId="ListContinue2">
    <w:name w:val="List Continue 2"/>
    <w:basedOn w:val="List2"/>
    <w:rsid w:val="00E32F1D"/>
    <w:pPr>
      <w:ind w:firstLine="0"/>
    </w:pPr>
  </w:style>
  <w:style w:type="paragraph" w:styleId="ListContinue3">
    <w:name w:val="List Continue 3"/>
    <w:basedOn w:val="List3"/>
    <w:rsid w:val="00E32F1D"/>
    <w:pPr>
      <w:ind w:left="1021" w:firstLine="0"/>
    </w:pPr>
  </w:style>
  <w:style w:type="paragraph" w:styleId="ListContinue4">
    <w:name w:val="List Continue 4"/>
    <w:basedOn w:val="List4"/>
    <w:rsid w:val="00E32F1D"/>
    <w:pPr>
      <w:ind w:firstLine="0"/>
    </w:pPr>
  </w:style>
  <w:style w:type="paragraph" w:styleId="ListContinue5">
    <w:name w:val="List Continue 5"/>
    <w:basedOn w:val="List5"/>
    <w:rsid w:val="00E32F1D"/>
    <w:pPr>
      <w:ind w:firstLine="0"/>
    </w:pPr>
  </w:style>
  <w:style w:type="paragraph" w:styleId="ListNumber3">
    <w:name w:val="List Number 3"/>
    <w:basedOn w:val="List3"/>
    <w:rsid w:val="00E32F1D"/>
    <w:pPr>
      <w:numPr>
        <w:numId w:val="3"/>
      </w:numPr>
    </w:pPr>
  </w:style>
  <w:style w:type="paragraph" w:styleId="ListNumber4">
    <w:name w:val="List Number 4"/>
    <w:basedOn w:val="List4"/>
    <w:rsid w:val="00E32F1D"/>
    <w:pPr>
      <w:numPr>
        <w:numId w:val="4"/>
      </w:numPr>
    </w:pPr>
  </w:style>
  <w:style w:type="paragraph" w:styleId="ListNumber5">
    <w:name w:val="List Number 5"/>
    <w:basedOn w:val="List5"/>
    <w:rsid w:val="00E32F1D"/>
    <w:pPr>
      <w:numPr>
        <w:numId w:val="5"/>
      </w:numPr>
    </w:pPr>
  </w:style>
  <w:style w:type="paragraph" w:styleId="BlockText">
    <w:name w:val="Block Text"/>
    <w:basedOn w:val="Normal"/>
    <w:rsid w:val="00E32F1D"/>
    <w:pPr>
      <w:spacing w:after="120"/>
      <w:ind w:left="1440" w:right="1440"/>
    </w:pPr>
  </w:style>
  <w:style w:type="character" w:customStyle="1" w:styleId="Subscript">
    <w:name w:val="Subscript"/>
    <w:basedOn w:val="DefaultParagraphFont"/>
    <w:rsid w:val="00E32F1D"/>
    <w:rPr>
      <w:sz w:val="16"/>
      <w:vertAlign w:val="subscript"/>
    </w:rPr>
  </w:style>
  <w:style w:type="character" w:customStyle="1" w:styleId="Superscript">
    <w:name w:val="Superscript"/>
    <w:basedOn w:val="DefaultParagraphFont"/>
    <w:rsid w:val="00E32F1D"/>
    <w:rPr>
      <w:sz w:val="16"/>
      <w:vertAlign w:val="superscript"/>
    </w:rPr>
  </w:style>
  <w:style w:type="character" w:customStyle="1" w:styleId="Symbols">
    <w:name w:val="Symbols"/>
    <w:basedOn w:val="DefaultParagraphFont"/>
    <w:rsid w:val="00E32F1D"/>
    <w:rPr>
      <w:rFonts w:ascii="Symbol" w:hAnsi="Symbol"/>
    </w:rPr>
  </w:style>
  <w:style w:type="character" w:customStyle="1" w:styleId="MenuOptions">
    <w:name w:val="Menu Options"/>
    <w:basedOn w:val="DefaultParagraphFont"/>
    <w:rsid w:val="00E32F1D"/>
    <w:rPr>
      <w:rFonts w:ascii="Arial Narrow" w:hAnsi="Arial Narrow"/>
      <w:smallCaps/>
    </w:rPr>
  </w:style>
  <w:style w:type="character" w:customStyle="1" w:styleId="Buttons">
    <w:name w:val="Buttons"/>
    <w:basedOn w:val="DefaultParagraphFont"/>
    <w:rsid w:val="00E32F1D"/>
    <w:rPr>
      <w:b/>
    </w:rPr>
  </w:style>
  <w:style w:type="character" w:customStyle="1" w:styleId="Underlined">
    <w:name w:val="Underlined"/>
    <w:basedOn w:val="DefaultParagraphFont"/>
    <w:rsid w:val="00E32F1D"/>
    <w:rPr>
      <w:u w:val="single"/>
    </w:rPr>
  </w:style>
  <w:style w:type="paragraph" w:customStyle="1" w:styleId="TableBodyTextRight">
    <w:name w:val="Table Body Text Right"/>
    <w:basedOn w:val="TableBodyText"/>
    <w:rsid w:val="00E32F1D"/>
    <w:pPr>
      <w:widowControl w:val="0"/>
      <w:autoSpaceDE w:val="0"/>
      <w:autoSpaceDN w:val="0"/>
      <w:adjustRightInd w:val="0"/>
      <w:jc w:val="right"/>
    </w:pPr>
    <w:rPr>
      <w:rFonts w:cs="Arial"/>
      <w:szCs w:val="18"/>
    </w:rPr>
  </w:style>
  <w:style w:type="paragraph" w:customStyle="1" w:styleId="CopyrightText">
    <w:name w:val="Copyright Text"/>
    <w:basedOn w:val="BodyText"/>
    <w:rsid w:val="00E32F1D"/>
    <w:rPr>
      <w:sz w:val="18"/>
    </w:rPr>
  </w:style>
  <w:style w:type="paragraph" w:customStyle="1" w:styleId="BodySmallRight">
    <w:name w:val="Body Small Right"/>
    <w:basedOn w:val="BodyTextRight"/>
    <w:rsid w:val="00E32F1D"/>
    <w:rPr>
      <w:sz w:val="18"/>
      <w:szCs w:val="18"/>
    </w:rPr>
  </w:style>
  <w:style w:type="paragraph" w:customStyle="1" w:styleId="MarginEdition">
    <w:name w:val="Margin Edition"/>
    <w:basedOn w:val="MarginNote"/>
    <w:rsid w:val="00E32F1D"/>
    <w:pPr>
      <w:spacing w:before="0" w:after="0"/>
    </w:pPr>
    <w:rPr>
      <w:rFonts w:ascii="Times New Roman" w:hAnsi="Times New Roman"/>
      <w:color w:val="999999"/>
    </w:rPr>
  </w:style>
  <w:style w:type="paragraph" w:customStyle="1" w:styleId="Spacer">
    <w:name w:val="Spacer"/>
    <w:basedOn w:val="Normal"/>
    <w:rsid w:val="00E32F1D"/>
    <w:rPr>
      <w:sz w:val="2"/>
      <w:szCs w:val="2"/>
    </w:rPr>
  </w:style>
  <w:style w:type="character" w:customStyle="1" w:styleId="Small">
    <w:name w:val="Small"/>
    <w:basedOn w:val="DefaultParagraphFont"/>
    <w:rsid w:val="00E32F1D"/>
    <w:rPr>
      <w:sz w:val="16"/>
    </w:rPr>
  </w:style>
  <w:style w:type="paragraph" w:customStyle="1" w:styleId="WideTable">
    <w:name w:val="Wide Table"/>
    <w:basedOn w:val="Normal"/>
    <w:rsid w:val="00E32F1D"/>
    <w:pPr>
      <w:ind w:left="-1418"/>
    </w:pPr>
    <w:rPr>
      <w:sz w:val="2"/>
      <w:szCs w:val="2"/>
    </w:rPr>
  </w:style>
  <w:style w:type="character" w:styleId="PageNumber">
    <w:name w:val="page number"/>
    <w:basedOn w:val="DefaultParagraphFont"/>
    <w:rsid w:val="00E32F1D"/>
  </w:style>
  <w:style w:type="paragraph" w:styleId="Quote">
    <w:name w:val="Quote"/>
    <w:basedOn w:val="Heading1"/>
    <w:link w:val="QuoteChar"/>
    <w:qFormat/>
    <w:rsid w:val="00E32F1D"/>
    <w:rPr>
      <w:b w:val="0"/>
      <w:sz w:val="72"/>
      <w:szCs w:val="72"/>
      <w:lang w:val="en-NZ"/>
    </w:rPr>
  </w:style>
  <w:style w:type="character" w:customStyle="1" w:styleId="QuoteChar">
    <w:name w:val="Quote Char"/>
    <w:basedOn w:val="DefaultParagraphFont"/>
    <w:link w:val="Quote"/>
    <w:rsid w:val="00E32F1D"/>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E32F1D"/>
    <w:pPr>
      <w:pageBreakBefore/>
    </w:pPr>
  </w:style>
  <w:style w:type="paragraph" w:customStyle="1" w:styleId="Border">
    <w:name w:val="Border"/>
    <w:basedOn w:val="Normal"/>
    <w:qFormat/>
    <w:rsid w:val="00E32F1D"/>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E32F1D"/>
    <w:rPr>
      <w:b/>
      <w:bCs/>
      <w:i/>
      <w:iCs/>
      <w:color w:val="auto"/>
    </w:rPr>
  </w:style>
  <w:style w:type="paragraph" w:styleId="IntenseQuote">
    <w:name w:val="Intense Quote"/>
    <w:basedOn w:val="Normal"/>
    <w:next w:val="Normal"/>
    <w:link w:val="IntenseQuoteChar"/>
    <w:uiPriority w:val="30"/>
    <w:qFormat/>
    <w:rsid w:val="00E32F1D"/>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E32F1D"/>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E32F1D"/>
    <w:rPr>
      <w:smallCaps/>
      <w:color w:val="auto"/>
      <w:u w:val="single"/>
    </w:rPr>
  </w:style>
  <w:style w:type="character" w:styleId="IntenseReference">
    <w:name w:val="Intense Reference"/>
    <w:basedOn w:val="DefaultParagraphFont"/>
    <w:uiPriority w:val="32"/>
    <w:qFormat/>
    <w:rsid w:val="00E32F1D"/>
    <w:rPr>
      <w:b/>
      <w:bCs/>
      <w:smallCaps/>
      <w:color w:val="auto"/>
      <w:spacing w:val="5"/>
      <w:u w:val="single"/>
    </w:rPr>
  </w:style>
  <w:style w:type="paragraph" w:customStyle="1" w:styleId="2ColumnHeading">
    <w:name w:val="2Column Heading"/>
    <w:basedOn w:val="BodyText"/>
    <w:qFormat/>
    <w:rsid w:val="00E32F1D"/>
    <w:pPr>
      <w:spacing w:after="60"/>
      <w:ind w:left="-2268"/>
    </w:pPr>
    <w:rPr>
      <w:b/>
    </w:rPr>
  </w:style>
  <w:style w:type="paragraph" w:customStyle="1" w:styleId="Heading1TOC">
    <w:name w:val="Heading1 TOC"/>
    <w:basedOn w:val="Normal"/>
    <w:qFormat/>
    <w:rsid w:val="00E32F1D"/>
    <w:pPr>
      <w:spacing w:before="240" w:after="120"/>
    </w:pPr>
    <w:rPr>
      <w:rFonts w:ascii="Times New Roman" w:hAnsi="Times New Roman"/>
      <w:b/>
      <w:sz w:val="32"/>
    </w:rPr>
  </w:style>
  <w:style w:type="paragraph" w:customStyle="1" w:styleId="Heading2TOC">
    <w:name w:val="Heading2 TOC"/>
    <w:basedOn w:val="Normal"/>
    <w:qFormat/>
    <w:rsid w:val="00E32F1D"/>
    <w:pPr>
      <w:spacing w:before="240" w:after="60"/>
    </w:pPr>
    <w:rPr>
      <w:rFonts w:ascii="Times New Roman" w:hAnsi="Times New Roman"/>
      <w:b/>
      <w:sz w:val="28"/>
    </w:rPr>
  </w:style>
  <w:style w:type="character" w:customStyle="1" w:styleId="Underline">
    <w:name w:val="Underline"/>
    <w:basedOn w:val="DefaultParagraphFont"/>
    <w:qFormat/>
    <w:rsid w:val="00E32F1D"/>
    <w:rPr>
      <w:u w:val="single"/>
    </w:rPr>
  </w:style>
  <w:style w:type="character" w:customStyle="1" w:styleId="BoldandItalics">
    <w:name w:val="Bold and Italics"/>
    <w:qFormat/>
    <w:rsid w:val="00E32F1D"/>
    <w:rPr>
      <w:b/>
      <w:i/>
      <w:u w:val="none"/>
    </w:rPr>
  </w:style>
  <w:style w:type="paragraph" w:styleId="BalloonText">
    <w:name w:val="Balloon Text"/>
    <w:basedOn w:val="Normal"/>
    <w:link w:val="BalloonTextChar"/>
    <w:rsid w:val="00E32F1D"/>
    <w:rPr>
      <w:rFonts w:ascii="Tahoma" w:hAnsi="Tahoma" w:cs="Tahoma"/>
      <w:sz w:val="16"/>
      <w:szCs w:val="16"/>
    </w:rPr>
  </w:style>
  <w:style w:type="character" w:customStyle="1" w:styleId="BalloonTextChar">
    <w:name w:val="Balloon Text Char"/>
    <w:basedOn w:val="DefaultParagraphFont"/>
    <w:link w:val="BalloonText"/>
    <w:rsid w:val="00E32F1D"/>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E32F1D"/>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E32F1D"/>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E32F1D"/>
    <w:rPr>
      <w:b/>
      <w:color w:val="660033"/>
      <w:spacing w:val="0"/>
    </w:rPr>
  </w:style>
  <w:style w:type="paragraph" w:customStyle="1" w:styleId="Nameditemlist">
    <w:name w:val="Named item list"/>
    <w:basedOn w:val="BodyText"/>
    <w:qFormat/>
    <w:rsid w:val="00E32F1D"/>
    <w:pPr>
      <w:tabs>
        <w:tab w:val="left" w:pos="2835"/>
      </w:tabs>
      <w:ind w:left="2835" w:hanging="2835"/>
    </w:pPr>
  </w:style>
  <w:style w:type="paragraph" w:customStyle="1" w:styleId="BodyTextnopadding">
    <w:name w:val="Body Text no padding"/>
    <w:basedOn w:val="BodyText"/>
    <w:qFormat/>
    <w:rsid w:val="00E32F1D"/>
    <w:pPr>
      <w:spacing w:before="0" w:after="0"/>
    </w:pPr>
  </w:style>
  <w:style w:type="paragraph" w:customStyle="1" w:styleId="BodyTextBold">
    <w:name w:val="Body Text Bold"/>
    <w:basedOn w:val="BodyText"/>
    <w:qFormat/>
    <w:rsid w:val="00E32F1D"/>
    <w:rPr>
      <w:b/>
    </w:rPr>
  </w:style>
  <w:style w:type="character" w:styleId="Hyperlink">
    <w:name w:val="Hyperlink"/>
    <w:basedOn w:val="DefaultParagraphFont"/>
    <w:uiPriority w:val="99"/>
    <w:unhideWhenUsed/>
    <w:rsid w:val="00F16B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vetnet.education.gov.au/Pages/TrainingDocs.aspx?q=df441c6e-213d-43e3-874c-0b3f7036d851"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536</Words>
  <Characters>3378</Characters>
  <Application>Microsoft Office Word</Application>
  <DocSecurity>0</DocSecurity>
  <Lines>140</Lines>
  <Paragraphs>69</Paragraphs>
  <ScaleCrop>false</ScaleCrop>
  <Company>Author-it Software Corporation Ltd.</Company>
  <LinksUpToDate>false</LinksUpToDate>
  <CharactersWithSpaces>3845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TLIF0001 Apply chain of responsibility legislation, regulations and workplace procedures</dc:title>
  <dc:subject>Approved</dc:subject>
  <dc:creator>Australian Industry Standards</dc:creator>
  <cp:keywords>Release: 1</cp:keywords>
  <dc:description>Review Date: 12 April 2008</dc:description>
  <cp:lastModifiedBy>HSD_TPCMSd.prod</cp:lastModifiedBy>
  <cp:revision>3</cp:revision>
  <dcterms:created xsi:type="dcterms:W3CDTF">2019-09-27T03:14:00Z</dcterms:created>
  <dcterms:modified xsi:type="dcterms:W3CDTF">2019-09-27T03:14:00Z</dcterms:modified>
</cp:coreProperties>
</file>