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9A6" w:rsidRDefault="003669A6" w:rsidP="003669A6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SIS50210 Diploma of Fitness</w:t>
      </w:r>
      <w:r>
        <w:fldChar w:fldCharType="end"/>
      </w:r>
    </w:p>
    <w:p w:rsidR="003669A6" w:rsidRDefault="003669A6" w:rsidP="003669A6">
      <w:pPr>
        <w:pStyle w:val="Version"/>
        <w:sectPr w:rsidR="003669A6" w:rsidSect="00BA7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3</w:t>
        </w:r>
      </w:fldSimple>
    </w:p>
    <w:p w:rsidR="00000000" w:rsidRPr="00BA79D4" w:rsidRDefault="003669A6" w:rsidP="00BA79D4">
      <w:pPr>
        <w:pStyle w:val="SuperHeading"/>
      </w:pPr>
      <w:r w:rsidRPr="00BA79D4">
        <w:lastRenderedPageBreak/>
        <w:t>SIS50210 Diploma of Fitness</w:t>
      </w:r>
    </w:p>
    <w:p w:rsidR="00000000" w:rsidRPr="00BA79D4" w:rsidRDefault="003669A6" w:rsidP="00BA79D4">
      <w:pPr>
        <w:pStyle w:val="Heading1"/>
      </w:pPr>
      <w:bookmarkStart w:id="1" w:name="O_534795"/>
      <w:bookmarkEnd w:id="1"/>
      <w:r w:rsidRPr="00BA79D4">
        <w:t>Modification History</w:t>
      </w:r>
    </w:p>
    <w:p w:rsidR="00000000" w:rsidRPr="00BA79D4" w:rsidRDefault="003669A6" w:rsidP="00BA79D4">
      <w:pPr>
        <w:pStyle w:val="BodyText"/>
      </w:pPr>
      <w:r w:rsidRPr="00BA79D4">
        <w:t>The release details of this qualification are in the table below. The latest information is at the top.</w:t>
      </w: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5"/>
        <w:gridCol w:w="6465"/>
      </w:tblGrid>
      <w:tr w:rsidR="00000000" w:rsidTr="003669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rPr>
                <w:rStyle w:val="SpecialBold"/>
              </w:rPr>
              <w:t>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Comments</w:t>
            </w:r>
          </w:p>
        </w:tc>
      </w:tr>
      <w:tr w:rsidR="00000000" w:rsidTr="003669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t>Editorial updates.</w:t>
            </w:r>
          </w:p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Updated units.</w:t>
            </w:r>
          </w:p>
        </w:tc>
      </w:tr>
      <w:tr w:rsidR="00000000" w:rsidRPr="00BA79D4" w:rsidTr="003669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t xml:space="preserve">The following additions have been made to General Electives: </w:t>
            </w:r>
          </w:p>
          <w:p w:rsidR="00000000" w:rsidRPr="00BA79D4" w:rsidRDefault="003669A6" w:rsidP="00BA79D4">
            <w:pPr>
              <w:pStyle w:val="ListBullet"/>
            </w:pPr>
            <w:r w:rsidRPr="00BA79D4">
              <w:t>SISFFIT313A</w:t>
            </w:r>
            <w:r w:rsidRPr="00BA79D4">
              <w:t xml:space="preserve"> Plan and deliver exercise for apparently healthy children and adolescents</w:t>
            </w:r>
          </w:p>
          <w:p w:rsidR="00000000" w:rsidRPr="00BA79D4" w:rsidRDefault="003669A6" w:rsidP="00BA79D4">
            <w:pPr>
              <w:pStyle w:val="ListBullet"/>
            </w:pPr>
            <w:r w:rsidRPr="00BA79D4">
              <w:t>SISFFIT314A Plan and deliver exercise to older clients with managed conditions</w:t>
            </w:r>
          </w:p>
          <w:p w:rsidR="00000000" w:rsidRPr="00BA79D4" w:rsidRDefault="003669A6" w:rsidP="00BA79D4">
            <w:pPr>
              <w:pStyle w:val="BodyText"/>
            </w:pPr>
          </w:p>
          <w:p w:rsidR="00000000" w:rsidRPr="00BA79D4" w:rsidRDefault="003669A6" w:rsidP="00BA79D4">
            <w:pPr>
              <w:pStyle w:val="BodyText"/>
            </w:pPr>
            <w:r w:rsidRPr="00BA79D4">
              <w:t>The following code correction/s have been made:</w:t>
            </w:r>
          </w:p>
          <w:p w:rsidR="00000000" w:rsidRPr="00BA79D4" w:rsidRDefault="003669A6" w:rsidP="00BA79D4">
            <w:pPr>
              <w:pStyle w:val="ListBullet"/>
            </w:pPr>
            <w:r w:rsidRPr="00BA79D4">
              <w:t>code and unit title correction to cross sector Group –  SISXRSK501A Manage risk deleted and changed to SISXRSK502A Manage organisational risks</w:t>
            </w:r>
          </w:p>
          <w:p w:rsidR="00000000" w:rsidRPr="00BA79D4" w:rsidRDefault="003669A6" w:rsidP="00BA79D4">
            <w:pPr>
              <w:pStyle w:val="ListBullet"/>
            </w:pPr>
            <w:r w:rsidRPr="00BA79D4">
              <w:t>SISSST301A corrected to SISSSTC301A</w:t>
            </w:r>
          </w:p>
          <w:p w:rsidR="00000000" w:rsidRPr="00BA79D4" w:rsidRDefault="003669A6" w:rsidP="00BA79D4">
            <w:pPr>
              <w:pStyle w:val="ListBullet"/>
            </w:pPr>
            <w:r w:rsidRPr="00BA79D4">
              <w:t>SISSST402A corrected to SISSSTC402A</w:t>
            </w:r>
          </w:p>
          <w:p w:rsidR="00000000" w:rsidRPr="00BA79D4" w:rsidRDefault="003669A6" w:rsidP="00BA79D4">
            <w:pPr>
              <w:pStyle w:val="BodyText"/>
            </w:pPr>
          </w:p>
        </w:tc>
      </w:tr>
    </w:tbl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2" w:name="O_534794"/>
      <w:bookmarkEnd w:id="2"/>
      <w:r w:rsidRPr="00BA79D4">
        <w:lastRenderedPageBreak/>
        <w:t>Description</w:t>
      </w:r>
    </w:p>
    <w:p w:rsidR="00000000" w:rsidRPr="00BA79D4" w:rsidRDefault="003669A6" w:rsidP="00BA79D4">
      <w:pPr>
        <w:pStyle w:val="BodyText"/>
      </w:pPr>
      <w:r w:rsidRPr="00BA79D4">
        <w:t>This qual</w:t>
      </w:r>
      <w:r w:rsidRPr="00BA79D4">
        <w:t>ification provides the skills and knowledge for an individual to be competent in a range of activities and functions within the fitness industry, including working collaboratively with medical and allied health professionals in a broad range of settings, s</w:t>
      </w:r>
      <w:r w:rsidRPr="00BA79D4">
        <w:t xml:space="preserve">uch as fitness facilities, aquatic facilities, community facilities and in open spaces. </w:t>
      </w:r>
    </w:p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BodyText"/>
      </w:pPr>
      <w:r w:rsidRPr="00BA79D4">
        <w:t>Those with this level of competency will be expected to provide exercise training to individual clients with specific needs, on a one-on-one or group basis, and may i</w:t>
      </w:r>
      <w:r w:rsidRPr="00BA79D4">
        <w:t>nclude older clients and children with chronic conditions.</w:t>
      </w:r>
    </w:p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BodyText"/>
      </w:pPr>
      <w:r w:rsidRPr="00BA79D4">
        <w:t>Persons with this level of competency will have the ability to implement, evaluate and modify the exercise prescription provided by medical or allied health professionals for clients with specific</w:t>
      </w:r>
      <w:r w:rsidRPr="00BA79D4">
        <w:t xml:space="preserve"> conditions, within an agreed scope for progression as recommended by referring medical or allied health professionals.</w:t>
      </w:r>
    </w:p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BodyText"/>
      </w:pPr>
      <w:r w:rsidRPr="00BA79D4">
        <w:t>Specialised exercise trainers will have the ability to monitor client progress and, in collaboration with medical or allied health professionals, utilise an evidence-based approach to deliver solutions by applying knowledge of physiology and anatomy and th</w:t>
      </w:r>
      <w:r w:rsidRPr="00BA79D4">
        <w:t>e pathology of specific medical conditions.</w:t>
      </w:r>
    </w:p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BodyText"/>
      </w:pPr>
      <w:r w:rsidRPr="00BA79D4">
        <w:rPr>
          <w:rStyle w:val="SpecialBold"/>
        </w:rPr>
        <w:t>Job roles</w:t>
      </w:r>
    </w:p>
    <w:p w:rsidR="00000000" w:rsidRPr="00BA79D4" w:rsidRDefault="003669A6" w:rsidP="00BA79D4">
      <w:pPr>
        <w:pStyle w:val="ListBullet"/>
      </w:pPr>
      <w:r w:rsidRPr="00BA79D4">
        <w:t>specialised exercise trainer</w:t>
      </w: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3" w:name="O_534793"/>
      <w:bookmarkEnd w:id="3"/>
      <w:r w:rsidRPr="00BA79D4">
        <w:t>Pathways Information</w:t>
      </w:r>
    </w:p>
    <w:p w:rsidR="00000000" w:rsidRPr="00BA79D4" w:rsidRDefault="003669A6" w:rsidP="00BA79D4">
      <w:pPr>
        <w:pStyle w:val="BodyText"/>
      </w:pPr>
      <w:r w:rsidRPr="00BA79D4">
        <w:t>Not Applicable</w:t>
      </w: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4" w:name="O_534792"/>
      <w:bookmarkEnd w:id="4"/>
      <w:r w:rsidRPr="00BA79D4">
        <w:t>Licensing/Regulatory Information</w:t>
      </w:r>
    </w:p>
    <w:p w:rsidR="00000000" w:rsidRPr="00BA79D4" w:rsidRDefault="003669A6" w:rsidP="00BA79D4">
      <w:pPr>
        <w:pStyle w:val="BodyText"/>
      </w:pPr>
      <w:r w:rsidRPr="00BA79D4">
        <w:t xml:space="preserve">No licensing, legislative, regulatory or certification requirements </w:t>
      </w:r>
      <w:r w:rsidRPr="00BA79D4">
        <w:t>apply to this qualification at the time of endorsement.</w:t>
      </w: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5" w:name="O_534791"/>
      <w:bookmarkEnd w:id="5"/>
      <w:r w:rsidRPr="00BA79D4">
        <w:lastRenderedPageBreak/>
        <w:t>Entry Requirements</w:t>
      </w:r>
    </w:p>
    <w:p w:rsidR="00000000" w:rsidRPr="00BA79D4" w:rsidRDefault="003669A6" w:rsidP="00BA79D4">
      <w:pPr>
        <w:pStyle w:val="BodyText"/>
      </w:pPr>
      <w:r w:rsidRPr="00BA79D4">
        <w:rPr>
          <w:rStyle w:val="SpecialBold"/>
        </w:rPr>
        <w:t>Entry requirements</w:t>
      </w:r>
    </w:p>
    <w:p w:rsidR="00000000" w:rsidRPr="00BA79D4" w:rsidRDefault="003669A6" w:rsidP="00BA79D4">
      <w:pPr>
        <w:pStyle w:val="BodyText"/>
      </w:pPr>
      <w:r w:rsidRPr="00BA79D4">
        <w:t>This qualification is designed for those existing fitness professionals have considerable experience in exercise delivery. Entry to this qualific</w:t>
      </w:r>
      <w:r w:rsidRPr="00BA79D4">
        <w:t>ation is open to those who have achieved the following units of competency and have significant vocational experience in the fitness industry: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5428"/>
      </w:tblGrid>
      <w:tr w:rsidR="00000000" w:rsidTr="003669A6">
        <w:trPr>
          <w:tblHeader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SISFFIT415A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Work collaboratively with medical and allied health professionals 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SISFFIT416A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Apply motivational psychology to provide guidance on exercise behaviour and change to meet health and fitness goals 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SISFFIT417A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Undertake long term exercise programming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SISFFIT418A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Undertake appraisals of functional movement 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SISFFIT419A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Apply exercise</w:t>
            </w:r>
            <w:r w:rsidRPr="00BA79D4">
              <w:t xml:space="preserve"> science principles to planning exercise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SISFFIT420A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Plan and deliver exercise programs to support desired body composition outcomes</w:t>
            </w:r>
          </w:p>
        </w:tc>
      </w:tr>
      <w:tr w:rsidR="00000000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SISFFIT421A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Plan and deliver personal training </w:t>
            </w:r>
          </w:p>
        </w:tc>
      </w:tr>
      <w:tr w:rsidR="00000000" w:rsidRPr="00BA79D4" w:rsidTr="003669A6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BSBSMB401A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t>Establish legal and risk management requirements of small business</w:t>
            </w:r>
          </w:p>
        </w:tc>
      </w:tr>
    </w:tbl>
    <w:p w:rsidR="00000000" w:rsidRPr="00BA79D4" w:rsidRDefault="003669A6" w:rsidP="00BA79D4">
      <w:pPr>
        <w:pStyle w:val="BodyText"/>
      </w:pPr>
      <w:r w:rsidRPr="00BA79D4">
        <w:t>While the nature and duration of the individual's vocational experience may vary according to the fitness business activity undertaken, evidence of the programming and delivery of a divers</w:t>
      </w:r>
      <w:r w:rsidRPr="00BA79D4">
        <w:t xml:space="preserve">e range of fitness services to clients is required. </w:t>
      </w: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6" w:name="O_534790"/>
      <w:bookmarkEnd w:id="6"/>
      <w:r w:rsidRPr="00BA79D4">
        <w:t>Employability Skills Summary</w:t>
      </w:r>
    </w:p>
    <w:tbl>
      <w:tblPr>
        <w:tblW w:w="95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678"/>
      </w:tblGrid>
      <w:tr w:rsidR="00BA79D4" w:rsidTr="003669A6">
        <w:trPr>
          <w:tblHeader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EMPLOYABILITY SKILLS QUALIFICATION SUMMARY</w:t>
            </w:r>
          </w:p>
        </w:tc>
      </w:tr>
      <w:tr w:rsidR="00BA79D4" w:rsidRPr="00BA79D4" w:rsidTr="003669A6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The following table contains a summary of the employability skills required by the fitness industry for this qua</w:t>
            </w:r>
            <w:r w:rsidRPr="00BA79D4">
              <w:t>lification. The employability skills facets described here are broad industry requirements that may vary depending on packaging options.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rPr>
                <w:rStyle w:val="SpecialBold"/>
              </w:rPr>
              <w:t>Employability Skill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Industry</w:t>
            </w:r>
            <w:r w:rsidRPr="00BA79D4">
              <w:t>/</w:t>
            </w:r>
            <w:r w:rsidRPr="00BA79D4">
              <w:rPr>
                <w:rStyle w:val="SpecialBold"/>
              </w:rPr>
              <w:t>enterprise requirements for this qualification include</w:t>
            </w:r>
            <w:r w:rsidRPr="00BA79D4">
              <w:t>: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Communication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Consulting with medical or allied health professionals to obtain clear information about providing exercise for clients with specific needs; explaining to clients the benefits of recommended exercise prescription; providing clear information about the exer</w:t>
            </w:r>
            <w:r w:rsidRPr="00BA79D4">
              <w:t>cises and activities proposed or delivered; answering client's questions and providing support during delivery of fitness services.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Teamwork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Collaborating with medical and allied health professionals to take collective responsibility for innovation in del</w:t>
            </w:r>
            <w:r w:rsidRPr="00BA79D4">
              <w:t>ivering quality fitness services to clients; planning fitness service delivery to take into account team member strengths and weaknesses; providing support and coaching.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Problem-solving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Modifying exercise prescriptions within scope of this qualification; </w:t>
            </w:r>
            <w:r w:rsidRPr="00BA79D4">
              <w:t>identifying issues related to client adherence to fitness programs and developing solutions by applying knowledge of physiology and anatomy and the pathology of specific medical conditions; identifying the need for referral back to, or consultation with me</w:t>
            </w:r>
            <w:r w:rsidRPr="00BA79D4">
              <w:t>dical or allied health professionals.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Initiative and enterprise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Monitoring of client progress and satisfaction and subsequently indentifying the most appropriate modifications to the exercise prescription or program, within the boundaries of scope and any</w:t>
            </w:r>
            <w:r w:rsidRPr="00BA79D4">
              <w:t xml:space="preserve"> contraindications present; using knowledge of current and emerging fitness and health industry trends to inform work practices.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Planning and organising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Information, time and resources are organised to ensure safe and effective delivery of services; monit</w:t>
            </w:r>
            <w:r w:rsidRPr="00BA79D4">
              <w:t>oring plans, procedures and systems and participating in continuous improvement processes; specialised exercise trainers will need to manage interactions with medical and allied health professionals to deliver timely and effective services to clients.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Self-management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Understanding and complying with the legal and ethical responsibilities that apply to specialised exercise trainers; maintaining professional standards and demonstrating safe practices in all aspects of the services provided, identifying bo</w:t>
            </w:r>
            <w:r w:rsidRPr="00BA79D4">
              <w:t>undaries and determining when to refer clients to medical or allied health professionals</w:t>
            </w:r>
          </w:p>
        </w:tc>
      </w:tr>
      <w:tr w:rsidR="00000000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Learning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Utilising an evidence based approach to obtain and evaluate knowledge relevant to exercise prescription and programs; undertaking professional development ac</w:t>
            </w:r>
            <w:r w:rsidRPr="00BA79D4">
              <w:t>tivities to ensure knowledge is current and further develop professional expertise and quality of services offered.</w:t>
            </w:r>
          </w:p>
        </w:tc>
      </w:tr>
      <w:tr w:rsidR="00000000" w:rsidRPr="00BA79D4" w:rsidTr="003669A6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Technology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79D4" w:rsidRDefault="003669A6" w:rsidP="00BA79D4">
            <w:pPr>
              <w:pStyle w:val="BodyText"/>
            </w:pPr>
            <w:r w:rsidRPr="00BA79D4">
              <w:t>Identifying and assessing updated technologies that assist in the planning and delivery of services; understanding the operating</w:t>
            </w:r>
            <w:r w:rsidRPr="00BA79D4">
              <w:t xml:space="preserve"> capacities of different equipment and their safe use.</w:t>
            </w:r>
          </w:p>
        </w:tc>
      </w:tr>
    </w:tbl>
    <w:p w:rsidR="00000000" w:rsidRPr="00BA79D4" w:rsidRDefault="003669A6" w:rsidP="00BA79D4">
      <w:pPr>
        <w:pStyle w:val="BodyText"/>
      </w:pPr>
    </w:p>
    <w:p w:rsidR="00000000" w:rsidRPr="00BA79D4" w:rsidRDefault="003669A6" w:rsidP="00BA79D4">
      <w:pPr>
        <w:pStyle w:val="AllowPageBreak"/>
      </w:pPr>
    </w:p>
    <w:p w:rsidR="00000000" w:rsidRPr="00BA79D4" w:rsidRDefault="003669A6" w:rsidP="00BA79D4">
      <w:pPr>
        <w:pStyle w:val="Heading1"/>
      </w:pPr>
      <w:bookmarkStart w:id="7" w:name="O_534789"/>
      <w:bookmarkEnd w:id="7"/>
      <w:r w:rsidRPr="00BA79D4">
        <w:t>Packaging Rules</w:t>
      </w:r>
    </w:p>
    <w:p w:rsidR="00000000" w:rsidRPr="00BA79D4" w:rsidRDefault="003669A6" w:rsidP="00BA79D4">
      <w:pPr>
        <w:pStyle w:val="BodyText"/>
      </w:pPr>
      <w:r w:rsidRPr="00BA79D4">
        <w:t>13 units must be completed:</w:t>
      </w:r>
    </w:p>
    <w:p w:rsidR="00000000" w:rsidRPr="00BA79D4" w:rsidRDefault="003669A6" w:rsidP="00BA79D4">
      <w:pPr>
        <w:pStyle w:val="ListBullet"/>
      </w:pPr>
      <w:r w:rsidRPr="00BA79D4">
        <w:t>9 core units</w:t>
      </w:r>
    </w:p>
    <w:p w:rsidR="00000000" w:rsidRPr="00BA79D4" w:rsidRDefault="003669A6" w:rsidP="00BA79D4">
      <w:pPr>
        <w:pStyle w:val="ListBullet"/>
      </w:pPr>
      <w:r w:rsidRPr="00BA79D4">
        <w:t>4 elective units, which may be chosen from the electives listed in this qualification; up to 2 of these units may be selected elsewhere in SIS10 or from any current accredited course or other Training Package, and must be first packaged at AQF level 4 or 5</w:t>
      </w:r>
      <w:r w:rsidRPr="00BA79D4">
        <w:t xml:space="preserve">. </w:t>
      </w:r>
    </w:p>
    <w:p w:rsidR="00000000" w:rsidRPr="00BA79D4" w:rsidRDefault="003669A6" w:rsidP="00BA79D4">
      <w:pPr>
        <w:pStyle w:val="BodyText"/>
      </w:pPr>
      <w:r w:rsidRPr="00BA79D4">
        <w:lastRenderedPageBreak/>
        <w:t>In all cases, selection of electives must be guided by the job outcome sought, local industry requirements and the characteristics of this qualification (as per the AQF descriptors).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5400"/>
      </w:tblGrid>
      <w:tr w:rsidR="00BA79D4" w:rsidTr="003669A6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Core</w:t>
            </w:r>
            <w:r w:rsidRPr="00BA79D4">
              <w:t xml:space="preserve"> (</w:t>
            </w:r>
            <w:r w:rsidRPr="00BA79D4">
              <w:rPr>
                <w:rStyle w:val="SpecialBold"/>
              </w:rPr>
              <w:t>9</w:t>
            </w:r>
            <w:r w:rsidRPr="00BA79D4">
              <w:t>)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HLTFA402C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Apply advanced first aid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SISFFIT523A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Deliver prescribed exercise to clients with cardiorespiratory conditions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SISFFIT524A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Deliver prescribed exercise to clients with metabolic conditions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SISFFIT525A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Advise on injury prevention and management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SISFFIT526A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Deliver prescribed exercise to clien</w:t>
            </w:r>
            <w:r w:rsidRPr="00BA79D4">
              <w:t>ts with musculoskeletal conditions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SISFFIT527A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Undertake health promotion activities to decrease risk factors and prevent chronic disease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SISFFIT528A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Apply research findings to exercise management strategies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SISXCCS404A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Address client needs</w:t>
            </w:r>
          </w:p>
        </w:tc>
      </w:tr>
      <w:tr w:rsidR="00000000" w:rsidRPr="00BA79D4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SISIND405A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Conduct projects</w:t>
            </w:r>
          </w:p>
        </w:tc>
      </w:tr>
      <w:tr w:rsidR="00BA79D4" w:rsidRPr="00BA79D4" w:rsidTr="003669A6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Electives</w:t>
            </w:r>
            <w:r w:rsidRPr="00BA79D4">
              <w:t xml:space="preserve"> (</w:t>
            </w:r>
            <w:r w:rsidRPr="00BA79D4">
              <w:rPr>
                <w:rStyle w:val="SpecialBold"/>
              </w:rPr>
              <w:t>4</w:t>
            </w:r>
            <w:r w:rsidRPr="00BA79D4">
              <w:t>)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Fitness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SISFFIT313A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Plan and deliver exercise for apparently healthy children and adolescents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SISFFIT314A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Plan and deliver exercise to older clients with managed conditions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SISFFIT529A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Deliver prescribed exercise to clients with a disability or neurological impairment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SISFFIT530A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Deliver prescribed exercise to children and young adolescents with specific chronic conditions  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SISFFIT531A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Deliver prescribed exercise to older clients with chronic conditions 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SISSSTC301A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Instruct strength and conditioning techniques</w:t>
            </w:r>
          </w:p>
        </w:tc>
      </w:tr>
      <w:tr w:rsidR="00000000" w:rsidRPr="00BA79D4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 xml:space="preserve">SISSSTC402A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Develop strength and conditioning programs</w:t>
            </w:r>
          </w:p>
        </w:tc>
      </w:tr>
      <w:tr w:rsidR="00BA79D4" w:rsidTr="003669A6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Sport Coaching</w:t>
            </w:r>
          </w:p>
        </w:tc>
      </w:tr>
      <w:tr w:rsidR="00000000" w:rsidRPr="00BA79D4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SISSSCO513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Plan and implement high-performance trai</w:t>
            </w:r>
            <w:r w:rsidRPr="00BA79D4">
              <w:t>ning and recovery programs</w:t>
            </w:r>
          </w:p>
        </w:tc>
      </w:tr>
      <w:tr w:rsidR="00BA79D4" w:rsidTr="003669A6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Cross Sector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SISXFAC404A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Coordinate facility equipment acquisition and maintenance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lastRenderedPageBreak/>
              <w:t>SISXIND406A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Manage projects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SISXOHS402A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Implement and monitor  occupational health and safety policies</w:t>
            </w:r>
          </w:p>
        </w:tc>
      </w:tr>
      <w:tr w:rsidR="00000000" w:rsidRPr="00BA79D4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SISXRSK502A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Manage organisational risk</w:t>
            </w:r>
          </w:p>
        </w:tc>
      </w:tr>
      <w:tr w:rsidR="00BA79D4" w:rsidTr="003669A6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rPr>
                <w:rStyle w:val="SpecialBold"/>
              </w:rPr>
              <w:t>Imported Units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BSBADM502B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Manage meetings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BSBMKG501B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Identify and evaluate marketing opportunities</w:t>
            </w:r>
          </w:p>
        </w:tc>
      </w:tr>
      <w:tr w:rsidR="00000000" w:rsidTr="003669A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BSBWOR501B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Manage personal work priorities and professional development</w:t>
            </w:r>
          </w:p>
        </w:tc>
      </w:tr>
      <w:tr w:rsidR="00000000" w:rsidRPr="00BA79D4" w:rsidTr="003669A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000000" w:rsidRDefault="003669A6" w:rsidP="00BA79D4">
            <w:pPr>
              <w:pStyle w:val="BodyText"/>
              <w:rPr>
                <w:lang w:val="en-NZ"/>
              </w:rPr>
            </w:pPr>
            <w:r w:rsidRPr="00BA79D4">
              <w:t>HLTAQU413C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000000" w:rsidRPr="00BA79D4" w:rsidRDefault="003669A6" w:rsidP="00BA79D4">
            <w:pPr>
              <w:pStyle w:val="BodyText"/>
            </w:pPr>
            <w:r w:rsidRPr="00BA79D4">
              <w:t>Deliver and monitor a hydrotherapy program</w:t>
            </w:r>
          </w:p>
        </w:tc>
      </w:tr>
    </w:tbl>
    <w:p w:rsidR="00000000" w:rsidRPr="00BA79D4" w:rsidRDefault="003669A6" w:rsidP="00BA79D4">
      <w:pPr>
        <w:pStyle w:val="BodyText"/>
      </w:pPr>
    </w:p>
    <w:p w:rsidR="00000000" w:rsidRPr="00BA79D4" w:rsidRDefault="003669A6" w:rsidP="00BA79D4"/>
    <w:sectPr w:rsidR="00000000" w:rsidRPr="00BA79D4" w:rsidSect="00BA79D4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D4" w:rsidRDefault="00BA79D4" w:rsidP="00BA79D4">
      <w:r>
        <w:separator/>
      </w:r>
    </w:p>
  </w:endnote>
  <w:endnote w:type="continuationSeparator" w:id="0">
    <w:p w:rsidR="00BA79D4" w:rsidRDefault="00BA79D4" w:rsidP="00B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Default="00BA79D4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Pr="003669A6" w:rsidRDefault="00BA79D4" w:rsidP="003669A6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Default="00BA79D4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A6" w:rsidRDefault="003669A6" w:rsidP="00BA79D4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6</w:t>
      </w:r>
    </w:fldSimple>
  </w:p>
  <w:p w:rsidR="003669A6" w:rsidRDefault="003669A6" w:rsidP="00BA79D4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Service Skills Australia</w:t>
      </w:r>
    </w:fldSimple>
  </w:p>
  <w:p w:rsidR="003669A6" w:rsidRDefault="003669A6" w:rsidP="00BA79D4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D4" w:rsidRDefault="00BA79D4" w:rsidP="00BA79D4">
      <w:r>
        <w:separator/>
      </w:r>
    </w:p>
  </w:footnote>
  <w:footnote w:type="continuationSeparator" w:id="0">
    <w:p w:rsidR="00BA79D4" w:rsidRDefault="00BA79D4" w:rsidP="00BA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Default="00BA79D4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Pr="003669A6" w:rsidRDefault="003669A6" w:rsidP="003669A6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5E57DC" wp14:editId="225D73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4" w:rsidRDefault="00BA79D4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A6" w:rsidRPr="002D2AF8" w:rsidRDefault="003669A6" w:rsidP="00BA79D4">
    <w:pPr>
      <w:pStyle w:val="Header"/>
      <w:framePr w:wrap="around"/>
    </w:pPr>
    <w:fldSimple w:instr=" TITLE   \* MERGEFORMAT ">
      <w:r>
        <w:t>SIS50210 Diploma of Fitness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8 March 2013</w:t>
    </w:r>
    <w:r>
      <w:fldChar w:fldCharType="end"/>
    </w:r>
  </w:p>
  <w:p w:rsidR="003669A6" w:rsidRDefault="003669A6" w:rsidP="00BA79D4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E2B4D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3FDA04FC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79D4"/>
    <w:rsid w:val="003669A6"/>
    <w:rsid w:val="00B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D4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BA79D4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BA79D4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BA79D4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BA79D4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BA79D4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BA79D4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BA79D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BA79D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A79D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BA79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79D4"/>
  </w:style>
  <w:style w:type="character" w:customStyle="1" w:styleId="Heading1Char">
    <w:name w:val="Heading 1 Char"/>
    <w:basedOn w:val="DefaultParagraphFont"/>
    <w:link w:val="Heading1"/>
    <w:rsid w:val="00BA79D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BA79D4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A79D4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BA79D4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BA79D4"/>
    <w:rPr>
      <w:b/>
      <w:spacing w:val="0"/>
    </w:rPr>
  </w:style>
  <w:style w:type="paragraph" w:customStyle="1" w:styleId="SuperHeading">
    <w:name w:val="SuperHeading"/>
    <w:basedOn w:val="Normal"/>
    <w:rsid w:val="00BA79D4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BA79D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A79D4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BA79D4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A79D4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9D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A79D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A79D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A79D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A79D4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BA79D4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BA79D4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BA79D4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BA79D4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BA79D4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BA79D4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BA79D4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BA79D4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BA79D4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BA79D4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BA79D4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BA79D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BA79D4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BA79D4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BA79D4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BA79D4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BA79D4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BA79D4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BA79D4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BA79D4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BA79D4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BA79D4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BA79D4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BA79D4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BA79D4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BA79D4"/>
    <w:rPr>
      <w:i/>
    </w:rPr>
  </w:style>
  <w:style w:type="paragraph" w:styleId="Caption">
    <w:name w:val="caption"/>
    <w:basedOn w:val="BodyText"/>
    <w:next w:val="Normal"/>
    <w:qFormat/>
    <w:rsid w:val="00BA79D4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BA79D4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BA79D4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BA79D4"/>
  </w:style>
  <w:style w:type="paragraph" w:styleId="TableofFigures">
    <w:name w:val="table of figures"/>
    <w:basedOn w:val="Normal"/>
    <w:next w:val="Normal"/>
    <w:semiHidden/>
    <w:rsid w:val="00BA79D4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BA79D4"/>
    <w:pPr>
      <w:numPr>
        <w:numId w:val="10"/>
      </w:numPr>
    </w:pPr>
  </w:style>
  <w:style w:type="character" w:customStyle="1" w:styleId="WingdingSymbols">
    <w:name w:val="Wingding Symbols"/>
    <w:rsid w:val="00BA79D4"/>
    <w:rPr>
      <w:rFonts w:ascii="Wingdings" w:hAnsi="Wingdings"/>
    </w:rPr>
  </w:style>
  <w:style w:type="paragraph" w:customStyle="1" w:styleId="TableHeading">
    <w:name w:val="Table Heading"/>
    <w:basedOn w:val="HeadingBase"/>
    <w:rsid w:val="00BA79D4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BA79D4"/>
    <w:rPr>
      <w:color w:val="0033CC"/>
      <w:u w:val="none"/>
    </w:rPr>
  </w:style>
  <w:style w:type="paragraph" w:customStyle="1" w:styleId="BodyTextRight">
    <w:name w:val="Body Text Right"/>
    <w:basedOn w:val="BodyText"/>
    <w:rsid w:val="00BA79D4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BA79D4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BA79D4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BA79D4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BA79D4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BA79D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BA79D4"/>
    <w:rPr>
      <w:sz w:val="32"/>
    </w:rPr>
  </w:style>
  <w:style w:type="paragraph" w:customStyle="1" w:styleId="HeadingProcedure">
    <w:name w:val="Heading Procedure"/>
    <w:basedOn w:val="HeadingBase"/>
    <w:next w:val="Normal"/>
    <w:rsid w:val="00BA79D4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BA79D4"/>
    <w:pPr>
      <w:spacing w:before="60" w:after="60"/>
    </w:pPr>
  </w:style>
  <w:style w:type="paragraph" w:styleId="ListContinue">
    <w:name w:val="List Continue"/>
    <w:basedOn w:val="List"/>
    <w:rsid w:val="00BA79D4"/>
    <w:pPr>
      <w:ind w:firstLine="0"/>
    </w:pPr>
  </w:style>
  <w:style w:type="paragraph" w:customStyle="1" w:styleId="ListNote">
    <w:name w:val="List Note"/>
    <w:basedOn w:val="List"/>
    <w:rsid w:val="00BA79D4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BA79D4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BA79D4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BA79D4"/>
    <w:rPr>
      <w:rFonts w:ascii="Courier New" w:hAnsi="Courier New"/>
    </w:rPr>
  </w:style>
  <w:style w:type="paragraph" w:customStyle="1" w:styleId="NoteBullet">
    <w:name w:val="Note Bullet"/>
    <w:basedOn w:val="Note"/>
    <w:rsid w:val="00BA79D4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BA79D4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BA79D4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BA79D4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BA79D4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BA79D4"/>
    <w:rPr>
      <w:sz w:val="20"/>
    </w:rPr>
  </w:style>
  <w:style w:type="character" w:customStyle="1" w:styleId="PlainTextChar">
    <w:name w:val="Plain Text Char"/>
    <w:basedOn w:val="DefaultParagraphFont"/>
    <w:link w:val="PlainText"/>
    <w:rsid w:val="00BA79D4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BA79D4"/>
    <w:rPr>
      <w:b/>
      <w:smallCaps/>
    </w:rPr>
  </w:style>
  <w:style w:type="paragraph" w:customStyle="1" w:styleId="TableListNumber">
    <w:name w:val="Table List Number"/>
    <w:basedOn w:val="ListNumber"/>
    <w:rsid w:val="00BA79D4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BA79D4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BA79D4"/>
    <w:pPr>
      <w:numPr>
        <w:numId w:val="8"/>
      </w:numPr>
    </w:pPr>
  </w:style>
  <w:style w:type="paragraph" w:customStyle="1" w:styleId="ListAlpha2">
    <w:name w:val="List Alpha 2"/>
    <w:basedOn w:val="List2"/>
    <w:rsid w:val="00BA79D4"/>
    <w:pPr>
      <w:numPr>
        <w:numId w:val="7"/>
      </w:numPr>
    </w:pPr>
  </w:style>
  <w:style w:type="paragraph" w:styleId="List2">
    <w:name w:val="List 2"/>
    <w:basedOn w:val="BodyText"/>
    <w:rsid w:val="00BA79D4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BA79D4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BA79D4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BA79D4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BA79D4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BA79D4"/>
    <w:pPr>
      <w:numPr>
        <w:numId w:val="2"/>
      </w:numPr>
    </w:pPr>
  </w:style>
  <w:style w:type="paragraph" w:styleId="ListBullet5">
    <w:name w:val="List Bullet 5"/>
    <w:basedOn w:val="List5"/>
    <w:rsid w:val="00BA79D4"/>
    <w:pPr>
      <w:numPr>
        <w:numId w:val="3"/>
      </w:numPr>
    </w:pPr>
  </w:style>
  <w:style w:type="paragraph" w:styleId="ListContinue2">
    <w:name w:val="List Continue 2"/>
    <w:basedOn w:val="List2"/>
    <w:rsid w:val="00BA79D4"/>
    <w:pPr>
      <w:ind w:firstLine="0"/>
    </w:pPr>
  </w:style>
  <w:style w:type="paragraph" w:styleId="ListContinue3">
    <w:name w:val="List Continue 3"/>
    <w:basedOn w:val="List3"/>
    <w:rsid w:val="00BA79D4"/>
    <w:pPr>
      <w:ind w:left="1021" w:firstLine="0"/>
    </w:pPr>
  </w:style>
  <w:style w:type="paragraph" w:styleId="ListContinue4">
    <w:name w:val="List Continue 4"/>
    <w:basedOn w:val="List4"/>
    <w:rsid w:val="00BA79D4"/>
    <w:pPr>
      <w:ind w:firstLine="0"/>
    </w:pPr>
  </w:style>
  <w:style w:type="paragraph" w:styleId="ListContinue5">
    <w:name w:val="List Continue 5"/>
    <w:basedOn w:val="List5"/>
    <w:rsid w:val="00BA79D4"/>
    <w:pPr>
      <w:ind w:firstLine="0"/>
    </w:pPr>
  </w:style>
  <w:style w:type="paragraph" w:styleId="ListNumber3">
    <w:name w:val="List Number 3"/>
    <w:basedOn w:val="List3"/>
    <w:rsid w:val="00BA79D4"/>
    <w:pPr>
      <w:numPr>
        <w:numId w:val="4"/>
      </w:numPr>
    </w:pPr>
  </w:style>
  <w:style w:type="paragraph" w:styleId="ListNumber4">
    <w:name w:val="List Number 4"/>
    <w:basedOn w:val="List4"/>
    <w:rsid w:val="00BA79D4"/>
    <w:pPr>
      <w:numPr>
        <w:numId w:val="5"/>
      </w:numPr>
    </w:pPr>
  </w:style>
  <w:style w:type="paragraph" w:styleId="ListNumber5">
    <w:name w:val="List Number 5"/>
    <w:basedOn w:val="List5"/>
    <w:rsid w:val="00BA79D4"/>
    <w:pPr>
      <w:numPr>
        <w:numId w:val="6"/>
      </w:numPr>
    </w:pPr>
  </w:style>
  <w:style w:type="paragraph" w:styleId="BlockText">
    <w:name w:val="Block Text"/>
    <w:basedOn w:val="Normal"/>
    <w:rsid w:val="00BA79D4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BA79D4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BA79D4"/>
    <w:rPr>
      <w:sz w:val="16"/>
      <w:vertAlign w:val="superscript"/>
    </w:rPr>
  </w:style>
  <w:style w:type="character" w:customStyle="1" w:styleId="Symbols">
    <w:name w:val="Symbols"/>
    <w:basedOn w:val="DefaultParagraphFont"/>
    <w:rsid w:val="00BA79D4"/>
    <w:rPr>
      <w:rFonts w:ascii="Symbol" w:hAnsi="Symbol"/>
    </w:rPr>
  </w:style>
  <w:style w:type="character" w:customStyle="1" w:styleId="MenuOptions">
    <w:name w:val="Menu Options"/>
    <w:basedOn w:val="DefaultParagraphFont"/>
    <w:rsid w:val="00BA79D4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BA79D4"/>
    <w:rPr>
      <w:b/>
    </w:rPr>
  </w:style>
  <w:style w:type="character" w:customStyle="1" w:styleId="Underlined">
    <w:name w:val="Underlined"/>
    <w:basedOn w:val="DefaultParagraphFont"/>
    <w:rsid w:val="00BA79D4"/>
    <w:rPr>
      <w:u w:val="single"/>
    </w:rPr>
  </w:style>
  <w:style w:type="paragraph" w:customStyle="1" w:styleId="TableBodyTextRight">
    <w:name w:val="Table Body Text Right"/>
    <w:basedOn w:val="TableBodyText"/>
    <w:rsid w:val="00BA79D4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BA79D4"/>
    <w:rPr>
      <w:sz w:val="18"/>
    </w:rPr>
  </w:style>
  <w:style w:type="paragraph" w:customStyle="1" w:styleId="BodySmallRight">
    <w:name w:val="Body Small Right"/>
    <w:basedOn w:val="BodyTextRight"/>
    <w:rsid w:val="00BA79D4"/>
    <w:rPr>
      <w:sz w:val="18"/>
      <w:szCs w:val="18"/>
    </w:rPr>
  </w:style>
  <w:style w:type="paragraph" w:customStyle="1" w:styleId="MarginEdition">
    <w:name w:val="Margin Edition"/>
    <w:basedOn w:val="MarginNote"/>
    <w:rsid w:val="00BA79D4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BA79D4"/>
    <w:rPr>
      <w:sz w:val="2"/>
      <w:szCs w:val="2"/>
    </w:rPr>
  </w:style>
  <w:style w:type="character" w:customStyle="1" w:styleId="Small">
    <w:name w:val="Small"/>
    <w:basedOn w:val="DefaultParagraphFont"/>
    <w:rsid w:val="00BA79D4"/>
    <w:rPr>
      <w:sz w:val="16"/>
    </w:rPr>
  </w:style>
  <w:style w:type="paragraph" w:customStyle="1" w:styleId="WideTable">
    <w:name w:val="Wide Table"/>
    <w:basedOn w:val="Normal"/>
    <w:rsid w:val="00BA79D4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BA79D4"/>
  </w:style>
  <w:style w:type="paragraph" w:styleId="Quote">
    <w:name w:val="Quote"/>
    <w:basedOn w:val="Heading1"/>
    <w:link w:val="QuoteChar"/>
    <w:qFormat/>
    <w:rsid w:val="00BA79D4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BA79D4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BA79D4"/>
    <w:pPr>
      <w:pageBreakBefore/>
    </w:pPr>
  </w:style>
  <w:style w:type="paragraph" w:customStyle="1" w:styleId="Border">
    <w:name w:val="Border"/>
    <w:basedOn w:val="Normal"/>
    <w:qFormat/>
    <w:rsid w:val="00BA79D4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BA79D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9D4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BA79D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A79D4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BA79D4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BA79D4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BA79D4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BA79D4"/>
    <w:rPr>
      <w:u w:val="single"/>
    </w:rPr>
  </w:style>
  <w:style w:type="character" w:customStyle="1" w:styleId="BoldandItalics">
    <w:name w:val="Bold and Italics"/>
    <w:qFormat/>
    <w:rsid w:val="00BA79D4"/>
    <w:rPr>
      <w:b/>
      <w:i/>
      <w:u w:val="none"/>
    </w:rPr>
  </w:style>
  <w:style w:type="paragraph" w:styleId="BalloonText">
    <w:name w:val="Balloon Text"/>
    <w:basedOn w:val="Normal"/>
    <w:link w:val="BalloonTextChar"/>
    <w:rsid w:val="00BA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9D4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79D4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A79D4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BA79D4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BA79D4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7434</Characters>
  <Application>Microsoft Office Word</Application>
  <DocSecurity>0</DocSecurity>
  <Lines>228</Lines>
  <Paragraphs>131</Paragraphs>
  <ScaleCrop>false</ScaleCrop>
  <Company>Author-it Software Corporation Ltd.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SIS50210 Diploma of Fitness</dc:title>
  <dc:subject>Approved</dc:subject>
  <dc:creator>Service Skills Australia</dc:creator>
  <cp:keywords>Release: 3</cp:keywords>
  <dc:description>Copyright © 1996-2007 Author-it Software Corporation Ltd., all rights reserved.</dc:description>
  <cp:lastModifiedBy>TPCMS</cp:lastModifiedBy>
  <cp:revision>3</cp:revision>
  <dcterms:created xsi:type="dcterms:W3CDTF">2013-03-08T11:01:00Z</dcterms:created>
  <dcterms:modified xsi:type="dcterms:W3CDTF">2013-03-08T11:01:00Z</dcterms:modified>
</cp:coreProperties>
</file>