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9D" w:rsidRDefault="00971F9D" w:rsidP="00971F9D">
      <w:pPr>
        <w:pStyle w:val="Title"/>
      </w:pPr>
      <w:fldSimple w:instr=" TITLE   \* MERGEFORMAT ">
        <w:r>
          <w:t>RIIWHS202D Enter and work in confined spaces</w:t>
        </w:r>
      </w:fldSimple>
    </w:p>
    <w:p w:rsidR="00971F9D" w:rsidRDefault="00971F9D" w:rsidP="00971F9D">
      <w:pPr>
        <w:pStyle w:val="Version"/>
        <w:sectPr w:rsidR="00971F9D" w:rsidSect="00611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6116C8" w:rsidRDefault="00971F9D" w:rsidP="006116C8">
      <w:pPr>
        <w:pStyle w:val="SuperHeading"/>
      </w:pPr>
      <w:r w:rsidRPr="006116C8">
        <w:lastRenderedPageBreak/>
        <w:t>RIIWHS202D Enter and work in confined spaces</w:t>
      </w:r>
    </w:p>
    <w:p w:rsidR="00000000" w:rsidRPr="006116C8" w:rsidRDefault="00971F9D" w:rsidP="006116C8">
      <w:pPr>
        <w:pStyle w:val="Heading1"/>
      </w:pPr>
      <w:bookmarkStart w:id="1" w:name="O_595281"/>
      <w:bookmarkEnd w:id="1"/>
      <w:r w:rsidRPr="006116C8">
        <w:t>Modification History</w:t>
      </w:r>
    </w:p>
    <w:p w:rsidR="00000000" w:rsidRPr="006116C8" w:rsidRDefault="00971F9D" w:rsidP="006116C8">
      <w:pPr>
        <w:pStyle w:val="BodyText"/>
      </w:pPr>
      <w:r w:rsidRPr="006116C8">
        <w:t>Not applicable.</w:t>
      </w:r>
    </w:p>
    <w:p w:rsidR="00000000" w:rsidRPr="006116C8" w:rsidRDefault="00971F9D" w:rsidP="006116C8">
      <w:pPr>
        <w:pStyle w:val="AllowPageBreak"/>
      </w:pPr>
    </w:p>
    <w:p w:rsidR="00000000" w:rsidRPr="006116C8" w:rsidRDefault="00971F9D" w:rsidP="006116C8">
      <w:pPr>
        <w:pStyle w:val="Heading1"/>
      </w:pPr>
      <w:bookmarkStart w:id="2" w:name="O_595282"/>
      <w:bookmarkEnd w:id="2"/>
      <w:r w:rsidRPr="006116C8">
        <w:lastRenderedPageBreak/>
        <w:t>Application</w:t>
      </w:r>
    </w:p>
    <w:p w:rsidR="00000000" w:rsidRPr="006116C8" w:rsidRDefault="00971F9D" w:rsidP="006116C8">
      <w:pPr>
        <w:pStyle w:val="BodyText"/>
      </w:pPr>
      <w:r w:rsidRPr="006116C8">
        <w:t>This unit describes a participant’s skills and knowledge required to enter and work in confined spaces in the Resources and Infrastructure Industries.</w:t>
      </w:r>
    </w:p>
    <w:p w:rsidR="00000000" w:rsidRPr="006116C8" w:rsidRDefault="00971F9D" w:rsidP="006116C8">
      <w:pPr>
        <w:pStyle w:val="BodyText"/>
      </w:pPr>
      <w:r w:rsidRPr="006116C8">
        <w:t>This unit is appropriate for those work</w:t>
      </w:r>
      <w:r w:rsidRPr="006116C8">
        <w:t>ing in operational roles undertaking work in confined spaces.</w:t>
      </w:r>
    </w:p>
    <w:p w:rsidR="00971F9D" w:rsidRDefault="00971F9D" w:rsidP="006116C8">
      <w:pPr>
        <w:pStyle w:val="BodyText"/>
      </w:pPr>
      <w:r w:rsidRPr="006116C8">
        <w:t xml:space="preserve">Licensing, legislative, regulatory and certification requirements that apply to this unit can vary between states, territories, and Industry sectors.  Relevant information must be sourced prior </w:t>
      </w:r>
      <w:r w:rsidRPr="006116C8">
        <w:t>to application of the unit.</w:t>
      </w:r>
    </w:p>
    <w:p w:rsidR="00971F9D" w:rsidRDefault="00971F9D" w:rsidP="006116C8">
      <w:pPr>
        <w:pStyle w:val="BodyText"/>
      </w:pPr>
    </w:p>
    <w:p w:rsidR="00000000" w:rsidRPr="006116C8" w:rsidRDefault="00971F9D" w:rsidP="006116C8">
      <w:pPr>
        <w:pStyle w:val="Heading1"/>
      </w:pPr>
      <w:bookmarkStart w:id="3" w:name="O_595286"/>
      <w:bookmarkEnd w:id="3"/>
      <w:r w:rsidRPr="006116C8">
        <w:t>Elements and Performance Criteria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6892"/>
      </w:tblGrid>
      <w:tr w:rsidR="00000000" w:rsidTr="006116C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1 Plan and prepare for working in confined space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116C8" w:rsidRDefault="00971F9D" w:rsidP="006116C8">
            <w:pPr>
              <w:pStyle w:val="BodyText"/>
            </w:pPr>
            <w:r w:rsidRPr="006116C8">
              <w:t>1.1</w:t>
            </w:r>
            <w:r w:rsidRPr="006116C8">
              <w:tab/>
              <w:t>Access, interpret and apply procedures for confined space entry and the environmental management plan and ensure the work a</w:t>
            </w:r>
            <w:r w:rsidRPr="006116C8">
              <w:t>ctivity is compliant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1.2</w:t>
            </w:r>
            <w:r w:rsidRPr="006116C8">
              <w:tab/>
              <w:t>Obtain, confirm, clarify and apply work instructions and agreed procedure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1.3</w:t>
            </w:r>
            <w:r w:rsidRPr="006116C8">
              <w:tab/>
              <w:t>Obtain, confirm, clarify and apply safety requirements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1.4</w:t>
            </w:r>
            <w:r w:rsidRPr="006116C8">
              <w:tab/>
              <w:t>Obtain and confirm authorisation (entry permit) meets regulatory requirements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1.5</w:t>
            </w:r>
            <w:r w:rsidRPr="006116C8">
              <w:tab/>
              <w:t xml:space="preserve">Confirm the </w:t>
            </w:r>
            <w:r w:rsidRPr="006116C8">
              <w:t>emergency response procedure is with the stand-by person and understood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1.6</w:t>
            </w:r>
            <w:r w:rsidRPr="006116C8">
              <w:tab/>
              <w:t>Identify, obtain and implement signage and barrier requirements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1.7</w:t>
            </w:r>
            <w:r w:rsidRPr="006116C8">
              <w:tab/>
              <w:t xml:space="preserve">Select tools and equipment for the tasks, check for serviceability and rectify or report any faults 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1.8</w:t>
            </w:r>
            <w:r w:rsidRPr="006116C8">
              <w:tab/>
              <w:t>Identif</w:t>
            </w:r>
            <w:r w:rsidRPr="006116C8">
              <w:t>y, confirm and apply the environmental protection requirements</w:t>
            </w:r>
          </w:p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1.9</w:t>
            </w:r>
            <w:r w:rsidRPr="006116C8">
              <w:tab/>
              <w:t>Position rescue equipment by the entry permit</w:t>
            </w:r>
          </w:p>
        </w:tc>
      </w:tr>
      <w:tr w:rsidR="00000000" w:rsidTr="006116C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2 Work in confined space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116C8" w:rsidRDefault="00971F9D" w:rsidP="006116C8">
            <w:pPr>
              <w:pStyle w:val="BodyText"/>
            </w:pPr>
            <w:r w:rsidRPr="006116C8">
              <w:t>2.1</w:t>
            </w:r>
            <w:r w:rsidRPr="006116C8">
              <w:tab/>
              <w:t>Gain access to confined space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2.2</w:t>
            </w:r>
            <w:r w:rsidRPr="006116C8">
              <w:tab/>
              <w:t>Ensure that the atmosphere is tested and monitored for harmful elements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2.3</w:t>
            </w:r>
            <w:r w:rsidRPr="006116C8">
              <w:tab/>
            </w:r>
            <w:r w:rsidRPr="006116C8">
              <w:t>Correctly apply tagging and lock-out procedures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2.4</w:t>
            </w:r>
            <w:r w:rsidRPr="006116C8">
              <w:tab/>
              <w:t>Enter the confined space correctly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2.5</w:t>
            </w:r>
            <w:r w:rsidRPr="006116C8">
              <w:tab/>
              <w:t>Maintain ongoing communication with the stand-by person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2.6</w:t>
            </w:r>
            <w:r w:rsidRPr="006116C8">
              <w:tab/>
              <w:t>Comply with entry permit requirements</w:t>
            </w:r>
          </w:p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2.7</w:t>
            </w:r>
            <w:r w:rsidRPr="006116C8">
              <w:tab/>
              <w:t>Monitor and adhere to allocated entry time</w:t>
            </w:r>
          </w:p>
        </w:tc>
      </w:tr>
      <w:tr w:rsidR="00000000" w:rsidTr="006116C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3 Exit confined spa</w:t>
            </w:r>
            <w:r w:rsidRPr="006116C8">
              <w:t>ce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116C8" w:rsidRDefault="00971F9D" w:rsidP="006116C8">
            <w:pPr>
              <w:pStyle w:val="BodyText"/>
            </w:pPr>
            <w:r w:rsidRPr="006116C8">
              <w:t>3.1</w:t>
            </w:r>
            <w:r w:rsidRPr="006116C8">
              <w:tab/>
              <w:t>Exit confined space correctly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lastRenderedPageBreak/>
              <w:t>3.2</w:t>
            </w:r>
            <w:r w:rsidRPr="006116C8">
              <w:tab/>
              <w:t>Recover tools, equipment and materials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3.3</w:t>
            </w:r>
            <w:r w:rsidRPr="006116C8">
              <w:tab/>
              <w:t>Conduct inspection of the confined space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3.4</w:t>
            </w:r>
            <w:r w:rsidRPr="006116C8">
              <w:tab/>
              <w:t>Secure access to the confined space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3.5</w:t>
            </w:r>
            <w:r w:rsidRPr="006116C8">
              <w:tab/>
              <w:t>Remove tagging and lock-out</w:t>
            </w:r>
          </w:p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t>3.6</w:t>
            </w:r>
            <w:r w:rsidRPr="006116C8">
              <w:tab/>
              <w:t>Accurately complete confined space entry permit</w:t>
            </w:r>
          </w:p>
        </w:tc>
      </w:tr>
      <w:tr w:rsidR="00000000" w:rsidRPr="006116C8" w:rsidTr="006116C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1F9D" w:rsidP="006116C8">
            <w:pPr>
              <w:pStyle w:val="BodyText"/>
              <w:rPr>
                <w:lang w:val="en-NZ"/>
              </w:rPr>
            </w:pPr>
            <w:r w:rsidRPr="006116C8">
              <w:lastRenderedPageBreak/>
              <w:t>4 Clea</w:t>
            </w:r>
            <w:r w:rsidRPr="006116C8">
              <w:t>n up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116C8" w:rsidRDefault="00971F9D" w:rsidP="006116C8">
            <w:pPr>
              <w:pStyle w:val="BodyText"/>
            </w:pPr>
            <w:r w:rsidRPr="006116C8">
              <w:t>4.1</w:t>
            </w:r>
            <w:r w:rsidRPr="006116C8">
              <w:tab/>
              <w:t xml:space="preserve">Clear work area and dispose of or recycle materials 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4.2</w:t>
            </w:r>
            <w:r w:rsidRPr="006116C8">
              <w:tab/>
              <w:t>Clean, check, maintain and store tools and equipment</w:t>
            </w:r>
          </w:p>
          <w:p w:rsidR="00000000" w:rsidRPr="006116C8" w:rsidRDefault="00971F9D" w:rsidP="006116C8">
            <w:pPr>
              <w:pStyle w:val="BodyText"/>
            </w:pPr>
            <w:r w:rsidRPr="006116C8">
              <w:t>4.3</w:t>
            </w:r>
            <w:r w:rsidRPr="006116C8">
              <w:tab/>
              <w:t>Remove, clean and store barriers and signs</w:t>
            </w:r>
          </w:p>
        </w:tc>
      </w:tr>
    </w:tbl>
    <w:p w:rsidR="00000000" w:rsidRPr="006116C8" w:rsidRDefault="00971F9D" w:rsidP="006116C8">
      <w:pPr>
        <w:pStyle w:val="BodyText"/>
      </w:pPr>
    </w:p>
    <w:p w:rsidR="00000000" w:rsidRPr="006116C8" w:rsidRDefault="00971F9D" w:rsidP="006116C8">
      <w:pPr>
        <w:pStyle w:val="AllowPageBreak"/>
      </w:pPr>
    </w:p>
    <w:p w:rsidR="00000000" w:rsidRPr="006116C8" w:rsidRDefault="00971F9D" w:rsidP="006116C8">
      <w:pPr>
        <w:pStyle w:val="Heading1"/>
      </w:pPr>
      <w:bookmarkStart w:id="4" w:name="O_595287"/>
      <w:bookmarkEnd w:id="4"/>
      <w:r w:rsidRPr="006116C8">
        <w:t>Foundation Skills</w:t>
      </w:r>
    </w:p>
    <w:p w:rsidR="00000000" w:rsidRPr="006116C8" w:rsidRDefault="00971F9D" w:rsidP="006116C8">
      <w:pPr>
        <w:pStyle w:val="BodyText"/>
      </w:pPr>
      <w:r w:rsidRPr="006116C8">
        <w:t>Foundation skills essential to performance are explicit in the performance criteria of this unit. Further information is available in the Resources and Infrastructure Industry Training Package Companion Volume.</w:t>
      </w:r>
    </w:p>
    <w:p w:rsidR="00000000" w:rsidRPr="006116C8" w:rsidRDefault="00971F9D" w:rsidP="006116C8">
      <w:pPr>
        <w:pStyle w:val="AllowPageBreak"/>
      </w:pPr>
    </w:p>
    <w:p w:rsidR="00000000" w:rsidRPr="006116C8" w:rsidRDefault="00971F9D" w:rsidP="006116C8">
      <w:pPr>
        <w:pStyle w:val="Heading1"/>
      </w:pPr>
      <w:bookmarkStart w:id="5" w:name="O_595289"/>
      <w:bookmarkEnd w:id="5"/>
      <w:r w:rsidRPr="006116C8">
        <w:t>Unit Mapping Information</w:t>
      </w:r>
    </w:p>
    <w:p w:rsidR="00000000" w:rsidRPr="006116C8" w:rsidRDefault="00971F9D" w:rsidP="006116C8">
      <w:pPr>
        <w:pStyle w:val="BodyText"/>
      </w:pPr>
      <w:r w:rsidRPr="006116C8">
        <w:t>RII</w:t>
      </w:r>
      <w:r w:rsidRPr="006116C8">
        <w:t>OHS202A Entering and working in confined spaces</w:t>
      </w:r>
    </w:p>
    <w:p w:rsidR="00000000" w:rsidRPr="006116C8" w:rsidRDefault="00971F9D" w:rsidP="006116C8">
      <w:pPr>
        <w:pStyle w:val="AllowPageBreak"/>
      </w:pPr>
    </w:p>
    <w:p w:rsidR="00000000" w:rsidRPr="006116C8" w:rsidRDefault="00971F9D" w:rsidP="006116C8">
      <w:pPr>
        <w:pStyle w:val="Heading1"/>
      </w:pPr>
      <w:bookmarkStart w:id="6" w:name="O_595296"/>
      <w:bookmarkEnd w:id="6"/>
      <w:r w:rsidRPr="006116C8">
        <w:t>Links</w:t>
      </w:r>
    </w:p>
    <w:p w:rsidR="00000000" w:rsidRPr="006116C8" w:rsidRDefault="00971F9D" w:rsidP="006116C8">
      <w:pPr>
        <w:pStyle w:val="BodyText"/>
      </w:pPr>
      <w:r w:rsidRPr="006116C8">
        <w:t>SkillsDMC RII Companion Volumes - http://www.skillsdmc.com.au/</w:t>
      </w:r>
    </w:p>
    <w:p w:rsidR="00000000" w:rsidRPr="006116C8" w:rsidRDefault="00971F9D" w:rsidP="006116C8"/>
    <w:sectPr w:rsidR="00000000" w:rsidRPr="006116C8" w:rsidSect="006116C8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C8" w:rsidRDefault="006116C8" w:rsidP="006116C8">
      <w:r>
        <w:separator/>
      </w:r>
    </w:p>
  </w:endnote>
  <w:endnote w:type="continuationSeparator" w:id="0">
    <w:p w:rsidR="006116C8" w:rsidRDefault="006116C8" w:rsidP="006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Default="006116C8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Pr="00971F9D" w:rsidRDefault="006116C8" w:rsidP="00971F9D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Default="006116C8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D" w:rsidRDefault="00971F9D" w:rsidP="006116C8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971F9D" w:rsidRDefault="00971F9D" w:rsidP="006116C8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SkillsDMC</w:t>
      </w:r>
    </w:fldSimple>
  </w:p>
  <w:p w:rsidR="00971F9D" w:rsidRDefault="00971F9D" w:rsidP="006116C8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C8" w:rsidRDefault="006116C8" w:rsidP="006116C8">
      <w:r>
        <w:separator/>
      </w:r>
    </w:p>
  </w:footnote>
  <w:footnote w:type="continuationSeparator" w:id="0">
    <w:p w:rsidR="006116C8" w:rsidRDefault="006116C8" w:rsidP="0061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Default="006116C8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Pr="00971F9D" w:rsidRDefault="00971F9D" w:rsidP="00971F9D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34904B" wp14:editId="4D9097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8" w:rsidRDefault="006116C8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D" w:rsidRPr="002D2AF8" w:rsidRDefault="00971F9D" w:rsidP="006116C8">
    <w:pPr>
      <w:pStyle w:val="Header"/>
      <w:framePr w:wrap="around"/>
    </w:pPr>
    <w:fldSimple w:instr=" TITLE   \* MERGEFORMAT ">
      <w:r>
        <w:t>RIIWHS202D Enter and work in confined spaces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17 December 2013</w:t>
    </w:r>
    <w:r>
      <w:fldChar w:fldCharType="end"/>
    </w:r>
  </w:p>
  <w:p w:rsidR="00971F9D" w:rsidRDefault="00971F9D" w:rsidP="006116C8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16C8"/>
    <w:rsid w:val="006116C8"/>
    <w:rsid w:val="009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C8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6116C8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6116C8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6116C8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6116C8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6116C8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6116C8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6116C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116C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116C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6116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6C8"/>
  </w:style>
  <w:style w:type="character" w:customStyle="1" w:styleId="Heading1Char">
    <w:name w:val="Heading 1 Char"/>
    <w:basedOn w:val="DefaultParagraphFont"/>
    <w:link w:val="Heading1"/>
    <w:rsid w:val="006116C8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6116C8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6116C8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uperHeading">
    <w:name w:val="SuperHeading"/>
    <w:basedOn w:val="Normal"/>
    <w:rsid w:val="006116C8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6116C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116C8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6116C8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116C8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116C8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116C8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116C8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116C8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116C8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6116C8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6116C8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6116C8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6116C8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6116C8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6116C8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6116C8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6116C8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6116C8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6116C8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6116C8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6116C8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6116C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character" w:customStyle="1" w:styleId="SpecialBold">
    <w:name w:val="Special Bold"/>
    <w:basedOn w:val="DefaultParagraphFont"/>
    <w:rsid w:val="006116C8"/>
    <w:rPr>
      <w:b/>
      <w:spacing w:val="0"/>
    </w:rPr>
  </w:style>
  <w:style w:type="paragraph" w:customStyle="1" w:styleId="SuperTitle">
    <w:name w:val="SuperTitle"/>
    <w:basedOn w:val="Title"/>
    <w:rsid w:val="006116C8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6116C8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6116C8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6116C8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6116C8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6116C8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6116C8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6116C8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6116C8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6116C8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6116C8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6116C8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6116C8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6116C8"/>
    <w:rPr>
      <w:i/>
    </w:rPr>
  </w:style>
  <w:style w:type="paragraph" w:styleId="Caption">
    <w:name w:val="caption"/>
    <w:basedOn w:val="BodyText"/>
    <w:next w:val="Normal"/>
    <w:qFormat/>
    <w:rsid w:val="006116C8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6116C8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6116C8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6116C8"/>
  </w:style>
  <w:style w:type="paragraph" w:styleId="TableofFigures">
    <w:name w:val="table of figures"/>
    <w:basedOn w:val="Normal"/>
    <w:next w:val="Normal"/>
    <w:semiHidden/>
    <w:rsid w:val="006116C8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6116C8"/>
    <w:pPr>
      <w:numPr>
        <w:numId w:val="9"/>
      </w:numPr>
    </w:pPr>
  </w:style>
  <w:style w:type="character" w:customStyle="1" w:styleId="WingdingSymbols">
    <w:name w:val="Wingding Symbols"/>
    <w:rsid w:val="006116C8"/>
    <w:rPr>
      <w:rFonts w:ascii="Wingdings" w:hAnsi="Wingdings"/>
    </w:rPr>
  </w:style>
  <w:style w:type="paragraph" w:customStyle="1" w:styleId="TableHeading">
    <w:name w:val="Table Heading"/>
    <w:basedOn w:val="HeadingBase"/>
    <w:rsid w:val="006116C8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6116C8"/>
    <w:rPr>
      <w:color w:val="0033CC"/>
      <w:u w:val="none"/>
    </w:rPr>
  </w:style>
  <w:style w:type="paragraph" w:customStyle="1" w:styleId="BodyTextRight">
    <w:name w:val="Body Text Right"/>
    <w:basedOn w:val="BodyText"/>
    <w:rsid w:val="006116C8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6116C8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6116C8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6116C8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6116C8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6116C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6116C8"/>
    <w:rPr>
      <w:sz w:val="32"/>
    </w:rPr>
  </w:style>
  <w:style w:type="paragraph" w:customStyle="1" w:styleId="HeadingProcedure">
    <w:name w:val="Heading Procedure"/>
    <w:basedOn w:val="HeadingBase"/>
    <w:next w:val="Normal"/>
    <w:rsid w:val="006116C8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6116C8"/>
    <w:pPr>
      <w:spacing w:before="60" w:after="60"/>
    </w:pPr>
  </w:style>
  <w:style w:type="paragraph" w:styleId="ListContinue">
    <w:name w:val="List Continue"/>
    <w:basedOn w:val="List"/>
    <w:rsid w:val="006116C8"/>
    <w:pPr>
      <w:ind w:firstLine="0"/>
    </w:pPr>
  </w:style>
  <w:style w:type="paragraph" w:customStyle="1" w:styleId="ListNote">
    <w:name w:val="List Note"/>
    <w:basedOn w:val="List"/>
    <w:rsid w:val="006116C8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6116C8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6116C8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6116C8"/>
    <w:rPr>
      <w:rFonts w:ascii="Courier New" w:hAnsi="Courier New"/>
    </w:rPr>
  </w:style>
  <w:style w:type="paragraph" w:customStyle="1" w:styleId="NoteBullet">
    <w:name w:val="Note Bullet"/>
    <w:basedOn w:val="Note"/>
    <w:rsid w:val="006116C8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6116C8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6116C8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6116C8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6116C8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6116C8"/>
    <w:rPr>
      <w:sz w:val="20"/>
    </w:rPr>
  </w:style>
  <w:style w:type="character" w:customStyle="1" w:styleId="PlainTextChar">
    <w:name w:val="Plain Text Char"/>
    <w:basedOn w:val="DefaultParagraphFont"/>
    <w:link w:val="PlainText"/>
    <w:rsid w:val="006116C8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6116C8"/>
    <w:rPr>
      <w:b/>
      <w:smallCaps/>
    </w:rPr>
  </w:style>
  <w:style w:type="paragraph" w:customStyle="1" w:styleId="TableListNumber">
    <w:name w:val="Table List Number"/>
    <w:basedOn w:val="ListNumber"/>
    <w:rsid w:val="006116C8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6116C8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6116C8"/>
    <w:pPr>
      <w:numPr>
        <w:numId w:val="7"/>
      </w:numPr>
    </w:pPr>
  </w:style>
  <w:style w:type="paragraph" w:customStyle="1" w:styleId="ListAlpha2">
    <w:name w:val="List Alpha 2"/>
    <w:basedOn w:val="List2"/>
    <w:rsid w:val="006116C8"/>
    <w:pPr>
      <w:numPr>
        <w:numId w:val="6"/>
      </w:numPr>
    </w:pPr>
  </w:style>
  <w:style w:type="paragraph" w:styleId="List2">
    <w:name w:val="List 2"/>
    <w:basedOn w:val="BodyText"/>
    <w:rsid w:val="006116C8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6116C8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6116C8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6116C8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6116C8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6116C8"/>
    <w:pPr>
      <w:numPr>
        <w:numId w:val="1"/>
      </w:numPr>
    </w:pPr>
  </w:style>
  <w:style w:type="paragraph" w:styleId="ListBullet5">
    <w:name w:val="List Bullet 5"/>
    <w:basedOn w:val="List5"/>
    <w:rsid w:val="006116C8"/>
    <w:pPr>
      <w:numPr>
        <w:numId w:val="2"/>
      </w:numPr>
    </w:pPr>
  </w:style>
  <w:style w:type="paragraph" w:styleId="ListContinue2">
    <w:name w:val="List Continue 2"/>
    <w:basedOn w:val="List2"/>
    <w:rsid w:val="006116C8"/>
    <w:pPr>
      <w:ind w:firstLine="0"/>
    </w:pPr>
  </w:style>
  <w:style w:type="paragraph" w:styleId="ListContinue3">
    <w:name w:val="List Continue 3"/>
    <w:basedOn w:val="List3"/>
    <w:rsid w:val="006116C8"/>
    <w:pPr>
      <w:ind w:left="1021" w:firstLine="0"/>
    </w:pPr>
  </w:style>
  <w:style w:type="paragraph" w:styleId="ListContinue4">
    <w:name w:val="List Continue 4"/>
    <w:basedOn w:val="List4"/>
    <w:rsid w:val="006116C8"/>
    <w:pPr>
      <w:ind w:firstLine="0"/>
    </w:pPr>
  </w:style>
  <w:style w:type="paragraph" w:styleId="ListContinue5">
    <w:name w:val="List Continue 5"/>
    <w:basedOn w:val="List5"/>
    <w:rsid w:val="006116C8"/>
    <w:pPr>
      <w:ind w:firstLine="0"/>
    </w:pPr>
  </w:style>
  <w:style w:type="paragraph" w:styleId="ListNumber3">
    <w:name w:val="List Number 3"/>
    <w:basedOn w:val="List3"/>
    <w:rsid w:val="006116C8"/>
    <w:pPr>
      <w:numPr>
        <w:numId w:val="3"/>
      </w:numPr>
    </w:pPr>
  </w:style>
  <w:style w:type="paragraph" w:styleId="ListNumber4">
    <w:name w:val="List Number 4"/>
    <w:basedOn w:val="List4"/>
    <w:rsid w:val="006116C8"/>
    <w:pPr>
      <w:numPr>
        <w:numId w:val="4"/>
      </w:numPr>
    </w:pPr>
  </w:style>
  <w:style w:type="paragraph" w:styleId="ListNumber5">
    <w:name w:val="List Number 5"/>
    <w:basedOn w:val="List5"/>
    <w:rsid w:val="006116C8"/>
    <w:pPr>
      <w:numPr>
        <w:numId w:val="5"/>
      </w:numPr>
    </w:pPr>
  </w:style>
  <w:style w:type="paragraph" w:styleId="BlockText">
    <w:name w:val="Block Text"/>
    <w:basedOn w:val="Normal"/>
    <w:rsid w:val="006116C8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6116C8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6116C8"/>
    <w:rPr>
      <w:sz w:val="16"/>
      <w:vertAlign w:val="superscript"/>
    </w:rPr>
  </w:style>
  <w:style w:type="character" w:customStyle="1" w:styleId="Symbols">
    <w:name w:val="Symbols"/>
    <w:basedOn w:val="DefaultParagraphFont"/>
    <w:rsid w:val="006116C8"/>
    <w:rPr>
      <w:rFonts w:ascii="Symbol" w:hAnsi="Symbol"/>
    </w:rPr>
  </w:style>
  <w:style w:type="character" w:customStyle="1" w:styleId="MenuOptions">
    <w:name w:val="Menu Options"/>
    <w:basedOn w:val="DefaultParagraphFont"/>
    <w:rsid w:val="006116C8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6116C8"/>
    <w:rPr>
      <w:b/>
    </w:rPr>
  </w:style>
  <w:style w:type="character" w:customStyle="1" w:styleId="Underlined">
    <w:name w:val="Underlined"/>
    <w:basedOn w:val="DefaultParagraphFont"/>
    <w:rsid w:val="006116C8"/>
    <w:rPr>
      <w:u w:val="single"/>
    </w:rPr>
  </w:style>
  <w:style w:type="paragraph" w:customStyle="1" w:styleId="TableBodyTextRight">
    <w:name w:val="Table Body Text Right"/>
    <w:basedOn w:val="TableBodyText"/>
    <w:rsid w:val="006116C8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6116C8"/>
    <w:rPr>
      <w:sz w:val="18"/>
    </w:rPr>
  </w:style>
  <w:style w:type="paragraph" w:customStyle="1" w:styleId="BodySmallRight">
    <w:name w:val="Body Small Right"/>
    <w:basedOn w:val="BodyTextRight"/>
    <w:rsid w:val="006116C8"/>
    <w:rPr>
      <w:sz w:val="18"/>
      <w:szCs w:val="18"/>
    </w:rPr>
  </w:style>
  <w:style w:type="paragraph" w:customStyle="1" w:styleId="MarginEdition">
    <w:name w:val="Margin Edition"/>
    <w:basedOn w:val="MarginNote"/>
    <w:rsid w:val="006116C8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6116C8"/>
    <w:rPr>
      <w:sz w:val="2"/>
      <w:szCs w:val="2"/>
    </w:rPr>
  </w:style>
  <w:style w:type="character" w:customStyle="1" w:styleId="Small">
    <w:name w:val="Small"/>
    <w:basedOn w:val="DefaultParagraphFont"/>
    <w:rsid w:val="006116C8"/>
    <w:rPr>
      <w:sz w:val="16"/>
    </w:rPr>
  </w:style>
  <w:style w:type="paragraph" w:customStyle="1" w:styleId="WideTable">
    <w:name w:val="Wide Table"/>
    <w:basedOn w:val="Normal"/>
    <w:rsid w:val="006116C8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6116C8"/>
  </w:style>
  <w:style w:type="paragraph" w:styleId="Quote">
    <w:name w:val="Quote"/>
    <w:basedOn w:val="Heading1"/>
    <w:link w:val="QuoteChar"/>
    <w:qFormat/>
    <w:rsid w:val="006116C8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6116C8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6116C8"/>
    <w:pPr>
      <w:pageBreakBefore/>
    </w:pPr>
  </w:style>
  <w:style w:type="paragraph" w:customStyle="1" w:styleId="Border">
    <w:name w:val="Border"/>
    <w:basedOn w:val="Normal"/>
    <w:qFormat/>
    <w:rsid w:val="006116C8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6116C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C8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6116C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116C8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6116C8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6116C8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6116C8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6116C8"/>
    <w:rPr>
      <w:u w:val="single"/>
    </w:rPr>
  </w:style>
  <w:style w:type="character" w:customStyle="1" w:styleId="BoldandItalics">
    <w:name w:val="Bold and Italics"/>
    <w:qFormat/>
    <w:rsid w:val="006116C8"/>
    <w:rPr>
      <w:b/>
      <w:i/>
      <w:u w:val="none"/>
    </w:rPr>
  </w:style>
  <w:style w:type="paragraph" w:styleId="BalloonText">
    <w:name w:val="Balloon Text"/>
    <w:basedOn w:val="Normal"/>
    <w:link w:val="BalloonTextChar"/>
    <w:rsid w:val="0061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6C8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116C8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6116C8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6116C8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6116C8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2261</Characters>
  <Application>Microsoft Office Word</Application>
  <DocSecurity>0</DocSecurity>
  <Lines>71</Lines>
  <Paragraphs>45</Paragraphs>
  <ScaleCrop>false</ScaleCrop>
  <Company>Author-it Software Corporation Ltd.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RIIWHS202D Enter and work in confined spaces</dc:title>
  <dc:subject>Approved</dc:subject>
  <dc:creator>SkillsDMC</dc:creator>
  <cp:keywords>Release: 1</cp:keywords>
  <dc:description>Review Date: 12 April 2008</dc:description>
  <cp:lastModifiedBy>HSD_TPCMSd.prod</cp:lastModifiedBy>
  <cp:revision>3</cp:revision>
  <dcterms:created xsi:type="dcterms:W3CDTF">2013-12-17T04:37:00Z</dcterms:created>
  <dcterms:modified xsi:type="dcterms:W3CDTF">2013-12-17T04:37:00Z</dcterms:modified>
</cp:coreProperties>
</file>