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20E4" w:rsidRDefault="005C20E4" w:rsidP="005C20E4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t>PSPREG409B Prepare a brief of evidence</w:t>
      </w:r>
      <w:r>
        <w:fldChar w:fldCharType="end"/>
      </w:r>
    </w:p>
    <w:p w:rsidR="005C20E4" w:rsidRDefault="005C20E4" w:rsidP="005C20E4">
      <w:pPr>
        <w:pStyle w:val="Version"/>
        <w:sectPr w:rsidR="005C20E4" w:rsidSect="006A4D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Revision Number: 3</w:t>
        </w:r>
      </w:fldSimple>
    </w:p>
    <w:p w:rsidR="00000000" w:rsidRPr="006A4D95" w:rsidRDefault="005C20E4" w:rsidP="006A4D95">
      <w:pPr>
        <w:pStyle w:val="SuperHeading"/>
      </w:pPr>
      <w:r w:rsidRPr="006A4D95">
        <w:lastRenderedPageBreak/>
        <w:t>PSPREG409B Prepare a brief of evidence</w:t>
      </w:r>
    </w:p>
    <w:p w:rsidR="00000000" w:rsidRPr="006A4D95" w:rsidRDefault="005C20E4" w:rsidP="006A4D95">
      <w:pPr>
        <w:pStyle w:val="SuperHeading"/>
      </w:pPr>
    </w:p>
    <w:p w:rsidR="00000000" w:rsidRPr="006A4D95" w:rsidRDefault="005C20E4" w:rsidP="006A4D95">
      <w:pPr>
        <w:pStyle w:val="Heading1"/>
      </w:pPr>
      <w:bookmarkStart w:id="1" w:name="O_498300"/>
      <w:bookmarkEnd w:id="1"/>
      <w:r w:rsidRPr="006A4D95">
        <w:t>Modification History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3052"/>
        <w:gridCol w:w="3052"/>
      </w:tblGrid>
      <w:tr w:rsidR="00000000" w:rsidTr="005C20E4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BodyText"/>
            </w:pPr>
            <w:r w:rsidRPr="006A4D95">
              <w:rPr>
                <w:rStyle w:val="SpecialBold"/>
              </w:rPr>
              <w:t>Release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BodyText"/>
            </w:pPr>
            <w:r w:rsidRPr="006A4D95">
              <w:rPr>
                <w:rStyle w:val="SpecialBold"/>
              </w:rPr>
              <w:t>TP Version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rPr>
                <w:rStyle w:val="SpecialBold"/>
              </w:rPr>
              <w:t>Comments</w:t>
            </w:r>
          </w:p>
        </w:tc>
      </w:tr>
      <w:tr w:rsidR="00000000" w:rsidTr="005C20E4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t>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t>PSP12V1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t xml:space="preserve">Unit descriptor edited. </w:t>
            </w:r>
          </w:p>
        </w:tc>
      </w:tr>
      <w:tr w:rsidR="00000000" w:rsidTr="005C20E4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t>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t>PSP04V4.2.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t>Layout adjusted. No changes to content.</w:t>
            </w:r>
          </w:p>
        </w:tc>
      </w:tr>
      <w:tr w:rsidR="00000000" w:rsidRPr="006A4D95" w:rsidTr="005C20E4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t>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t>PSP04V4.1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BodyText"/>
            </w:pPr>
            <w:r w:rsidRPr="006A4D95">
              <w:t>Primary release.</w:t>
            </w:r>
          </w:p>
        </w:tc>
      </w:tr>
    </w:tbl>
    <w:p w:rsidR="005C20E4" w:rsidRDefault="005C20E4" w:rsidP="006A4D95">
      <w:pPr>
        <w:pStyle w:val="BodyText"/>
      </w:pPr>
    </w:p>
    <w:p w:rsidR="005C20E4" w:rsidRDefault="005C20E4" w:rsidP="006A4D95">
      <w:pPr>
        <w:pStyle w:val="BodyText"/>
      </w:pPr>
    </w:p>
    <w:p w:rsidR="00000000" w:rsidRPr="006A4D95" w:rsidRDefault="005C20E4" w:rsidP="006A4D95">
      <w:pPr>
        <w:pStyle w:val="Heading1"/>
      </w:pPr>
      <w:bookmarkStart w:id="2" w:name="O_498298"/>
      <w:bookmarkEnd w:id="2"/>
      <w:r w:rsidRPr="006A4D95">
        <w:t>Unit Descriptor</w:t>
      </w:r>
    </w:p>
    <w:p w:rsidR="00000000" w:rsidRPr="006A4D95" w:rsidRDefault="005C20E4" w:rsidP="006A4D95">
      <w:pPr>
        <w:pStyle w:val="BodyText"/>
      </w:pPr>
      <w:r w:rsidRPr="006A4D95">
        <w:t>This unit covers the competency to prepare a brief of evidence. It includes analysing evidence, preparing and reviewing admissible evidence, de</w:t>
      </w:r>
      <w:r w:rsidRPr="006A4D95">
        <w:t>veloping a brief of evidence and coordinating witnesses.</w:t>
      </w:r>
    </w:p>
    <w:p w:rsidR="00000000" w:rsidRPr="006A4D95" w:rsidRDefault="005C20E4" w:rsidP="006A4D95">
      <w:pPr>
        <w:pStyle w:val="BodyText"/>
      </w:pPr>
      <w:r w:rsidRPr="006A4D95">
        <w:t>In practice, preparing a brief of evidence may overlap with other generalist or specialist public sector work activities such as acting ethically, complying with public sector legislation, applying government processes, gathering and analysing information.</w:t>
      </w:r>
    </w:p>
    <w:p w:rsidR="005C20E4" w:rsidRDefault="005C20E4" w:rsidP="006A4D95">
      <w:pPr>
        <w:pStyle w:val="BodyText"/>
      </w:pPr>
      <w:r w:rsidRPr="006A4D95">
        <w:t>No licensing, legislative, regulatory or certification requirements apply to this unit at the time of endorsement.</w:t>
      </w:r>
    </w:p>
    <w:p w:rsidR="005C20E4" w:rsidRDefault="005C20E4" w:rsidP="006A4D95">
      <w:pPr>
        <w:pStyle w:val="BodyText"/>
      </w:pPr>
    </w:p>
    <w:p w:rsidR="00000000" w:rsidRPr="006A4D95" w:rsidRDefault="005C20E4" w:rsidP="006A4D95">
      <w:pPr>
        <w:pStyle w:val="Heading1"/>
      </w:pPr>
      <w:bookmarkStart w:id="3" w:name="O_509054"/>
      <w:bookmarkEnd w:id="3"/>
      <w:r w:rsidRPr="006A4D95">
        <w:t>Application of the Unit</w:t>
      </w:r>
    </w:p>
    <w:p w:rsidR="00000000" w:rsidRPr="006A4D95" w:rsidRDefault="005C20E4" w:rsidP="006A4D95">
      <w:pPr>
        <w:pStyle w:val="BodyText"/>
      </w:pPr>
      <w:r w:rsidRPr="006A4D95">
        <w:t>Not applicable.</w:t>
      </w:r>
    </w:p>
    <w:p w:rsidR="00000000" w:rsidRPr="006A4D95" w:rsidRDefault="005C20E4" w:rsidP="006A4D95">
      <w:pPr>
        <w:pStyle w:val="AllowPageBreak"/>
      </w:pPr>
    </w:p>
    <w:p w:rsidR="00000000" w:rsidRPr="006A4D95" w:rsidRDefault="005C20E4" w:rsidP="006A4D95">
      <w:pPr>
        <w:pStyle w:val="Heading1"/>
      </w:pPr>
      <w:bookmarkStart w:id="4" w:name="O_498301"/>
      <w:bookmarkEnd w:id="4"/>
      <w:r w:rsidRPr="006A4D95">
        <w:t>Licensing/Regulatory Information</w:t>
      </w:r>
    </w:p>
    <w:p w:rsidR="00000000" w:rsidRPr="006A4D95" w:rsidRDefault="005C20E4" w:rsidP="006A4D95">
      <w:pPr>
        <w:pStyle w:val="BodyText"/>
      </w:pPr>
      <w:r w:rsidRPr="006A4D95">
        <w:t>Not applicable.</w:t>
      </w:r>
    </w:p>
    <w:p w:rsidR="00000000" w:rsidRPr="006A4D95" w:rsidRDefault="005C20E4" w:rsidP="006A4D95">
      <w:pPr>
        <w:pStyle w:val="AllowPageBreak"/>
      </w:pPr>
    </w:p>
    <w:p w:rsidR="00000000" w:rsidRPr="006A4D95" w:rsidRDefault="005C20E4" w:rsidP="006A4D95">
      <w:pPr>
        <w:pStyle w:val="Heading1"/>
      </w:pPr>
      <w:bookmarkStart w:id="5" w:name="O_498296"/>
      <w:bookmarkEnd w:id="5"/>
      <w:r w:rsidRPr="006A4D95">
        <w:t>Pre-Requisites</w:t>
      </w:r>
    </w:p>
    <w:p w:rsidR="00000000" w:rsidRPr="006A4D95" w:rsidRDefault="005C20E4" w:rsidP="006A4D95">
      <w:pPr>
        <w:pStyle w:val="BodyText"/>
      </w:pPr>
      <w:r w:rsidRPr="006A4D95">
        <w:t>Not applicable.</w:t>
      </w:r>
    </w:p>
    <w:p w:rsidR="00000000" w:rsidRPr="006A4D95" w:rsidRDefault="005C20E4" w:rsidP="006A4D95">
      <w:pPr>
        <w:pStyle w:val="AllowPageBreak"/>
      </w:pPr>
    </w:p>
    <w:p w:rsidR="00000000" w:rsidRPr="006A4D95" w:rsidRDefault="005C20E4" w:rsidP="006A4D95">
      <w:pPr>
        <w:pStyle w:val="Heading1"/>
      </w:pPr>
      <w:bookmarkStart w:id="6" w:name="O_498304"/>
      <w:bookmarkEnd w:id="6"/>
      <w:r w:rsidRPr="006A4D95">
        <w:t>Employability Skills Information</w:t>
      </w:r>
    </w:p>
    <w:p w:rsidR="00000000" w:rsidRPr="006A4D95" w:rsidRDefault="005C20E4" w:rsidP="006A4D95">
      <w:pPr>
        <w:pStyle w:val="BodyText"/>
      </w:pPr>
      <w:r w:rsidRPr="006A4D95">
        <w:t>This unit contains employability skills.</w:t>
      </w:r>
    </w:p>
    <w:p w:rsidR="00000000" w:rsidRPr="006A4D95" w:rsidRDefault="005C20E4" w:rsidP="006A4D95">
      <w:pPr>
        <w:pStyle w:val="AllowPageBreak"/>
      </w:pPr>
    </w:p>
    <w:p w:rsidR="00000000" w:rsidRPr="006A4D95" w:rsidRDefault="005C20E4" w:rsidP="006A4D95">
      <w:pPr>
        <w:pStyle w:val="Heading1"/>
      </w:pPr>
      <w:bookmarkStart w:id="7" w:name="O_498306"/>
      <w:bookmarkEnd w:id="7"/>
      <w:r w:rsidRPr="006A4D95">
        <w:lastRenderedPageBreak/>
        <w:t>Elements and Performance Criteria Pre-Content</w:t>
      </w:r>
    </w:p>
    <w:tbl>
      <w:tblPr>
        <w:tblW w:w="93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6662"/>
      </w:tblGrid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t>Elements are the essential outcomes of the unit of competency.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BodyText"/>
            </w:pPr>
            <w:r w:rsidRPr="006A4D95">
              <w:t>Togethe</w:t>
            </w:r>
            <w:r w:rsidRPr="006A4D95">
              <w:t>r, performance criteria specify the requirements for competent performance. Text in</w:t>
            </w:r>
            <w:r w:rsidRPr="006A4D95">
              <w:rPr>
                <w:rStyle w:val="BoldandItalics"/>
              </w:rPr>
              <w:t xml:space="preserve"> bold italics </w:t>
            </w:r>
            <w:r w:rsidRPr="006A4D95">
              <w:t>is explained in the Range Statement following.</w:t>
            </w:r>
          </w:p>
        </w:tc>
      </w:tr>
    </w:tbl>
    <w:p w:rsidR="00000000" w:rsidRPr="006A4D95" w:rsidRDefault="005C20E4" w:rsidP="006A4D95">
      <w:pPr>
        <w:pStyle w:val="BodyText"/>
      </w:pPr>
    </w:p>
    <w:p w:rsidR="00000000" w:rsidRPr="006A4D95" w:rsidRDefault="005C20E4" w:rsidP="006A4D95">
      <w:pPr>
        <w:pStyle w:val="AllowPageBreak"/>
      </w:pPr>
    </w:p>
    <w:p w:rsidR="00000000" w:rsidRPr="006A4D95" w:rsidRDefault="005C20E4" w:rsidP="006A4D95">
      <w:pPr>
        <w:pStyle w:val="Heading1"/>
      </w:pPr>
      <w:bookmarkStart w:id="8" w:name="O_498305"/>
      <w:bookmarkEnd w:id="8"/>
      <w:r w:rsidRPr="006A4D95">
        <w:lastRenderedPageBreak/>
        <w:t>Elements and Performance Criteria</w:t>
      </w:r>
    </w:p>
    <w:tbl>
      <w:tblPr>
        <w:tblW w:w="93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6662"/>
      </w:tblGrid>
      <w:tr w:rsidR="00000000" w:rsidRPr="006A4D95" w:rsidTr="005C20E4">
        <w:trPr>
          <w:tblHeader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BodyText"/>
            </w:pPr>
            <w:r w:rsidRPr="006A4D95">
              <w:rPr>
                <w:rStyle w:val="SpecialBold"/>
              </w:rPr>
              <w:t>ELEMENT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rPr>
                <w:rStyle w:val="SpecialBold"/>
              </w:rPr>
              <w:t>PERFORMANCE CRITERIA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List"/>
              <w:rPr>
                <w:lang w:val="en-NZ"/>
              </w:rPr>
            </w:pPr>
            <w:r w:rsidRPr="006A4D95">
              <w:rPr>
                <w:rStyle w:val="SpecialBold"/>
              </w:rPr>
              <w:t>1</w:t>
            </w:r>
            <w:r w:rsidRPr="006A4D95">
              <w:t>.</w:t>
            </w:r>
            <w:r w:rsidRPr="006A4D95">
              <w:tab/>
            </w:r>
            <w:r w:rsidRPr="006A4D95">
              <w:rPr>
                <w:rStyle w:val="SpecialBold"/>
              </w:rPr>
              <w:t>Analyse evidence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List"/>
            </w:pPr>
            <w:r w:rsidRPr="006A4D95">
              <w:t>1.1</w:t>
            </w:r>
            <w:r w:rsidRPr="006A4D95">
              <w:tab/>
            </w:r>
            <w:r w:rsidRPr="006A4D95">
              <w:t>All related information is considered, whether likely to be admissible as evidence, or not.</w:t>
            </w:r>
          </w:p>
          <w:p w:rsidR="00000000" w:rsidRPr="006A4D95" w:rsidRDefault="005C20E4" w:rsidP="006A4D95">
            <w:pPr>
              <w:pStyle w:val="List"/>
            </w:pPr>
            <w:r w:rsidRPr="006A4D95">
              <w:t>1.2</w:t>
            </w:r>
            <w:r w:rsidRPr="006A4D95">
              <w:tab/>
              <w:t>Information is cross-checked to confirm origin, authenticity and reliability, and to anticipate challenge/s that may occur.</w:t>
            </w:r>
          </w:p>
          <w:p w:rsidR="00000000" w:rsidRPr="006A4D95" w:rsidRDefault="005C20E4" w:rsidP="006A4D95">
            <w:pPr>
              <w:pStyle w:val="List"/>
            </w:pPr>
            <w:r w:rsidRPr="006A4D95">
              <w:t>1.3</w:t>
            </w:r>
            <w:r w:rsidRPr="006A4D95">
              <w:tab/>
              <w:t>Gaps and inadequacies are identi</w:t>
            </w:r>
            <w:r w:rsidRPr="006A4D95">
              <w:t>fied and assessed to allow further collection of evidence where possible.</w:t>
            </w:r>
          </w:p>
          <w:p w:rsidR="00000000" w:rsidRDefault="005C20E4" w:rsidP="006A4D95">
            <w:pPr>
              <w:pStyle w:val="List"/>
              <w:rPr>
                <w:lang w:val="en-NZ"/>
              </w:rPr>
            </w:pPr>
            <w:r w:rsidRPr="006A4D95">
              <w:t>1.4</w:t>
            </w:r>
            <w:r w:rsidRPr="006A4D95">
              <w:tab/>
              <w:t>Information is handled and stored in accordance with legislative requirements and organisational policy and procedures.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List"/>
              <w:rPr>
                <w:lang w:val="en-NZ"/>
              </w:rPr>
            </w:pPr>
            <w:r w:rsidRPr="006A4D95">
              <w:rPr>
                <w:rStyle w:val="SpecialBold"/>
              </w:rPr>
              <w:t>2</w:t>
            </w:r>
            <w:r w:rsidRPr="006A4D95">
              <w:t>.</w:t>
            </w:r>
            <w:r w:rsidRPr="006A4D95">
              <w:tab/>
            </w:r>
            <w:r w:rsidRPr="006A4D95">
              <w:rPr>
                <w:rStyle w:val="SpecialBold"/>
              </w:rPr>
              <w:t>Prepare and review admissible evidence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List"/>
            </w:pPr>
            <w:r w:rsidRPr="006A4D95">
              <w:t>2.1</w:t>
            </w:r>
            <w:r w:rsidRPr="006A4D95">
              <w:tab/>
              <w:t>Witness and</w:t>
            </w:r>
            <w:r w:rsidRPr="006A4D95">
              <w:t xml:space="preserve"> expert statements are prepared in accordance with legislative requirements and organisational policy and procedures.</w:t>
            </w:r>
          </w:p>
          <w:p w:rsidR="00000000" w:rsidRPr="006A4D95" w:rsidRDefault="005C20E4" w:rsidP="006A4D95">
            <w:pPr>
              <w:pStyle w:val="List"/>
            </w:pPr>
            <w:r w:rsidRPr="006A4D95">
              <w:t>2.2</w:t>
            </w:r>
            <w:r w:rsidRPr="006A4D95">
              <w:tab/>
            </w:r>
            <w:r w:rsidRPr="006A4D95">
              <w:rPr>
                <w:rStyle w:val="BoldandItalics"/>
              </w:rPr>
              <w:t xml:space="preserve">Evidence </w:t>
            </w:r>
            <w:r w:rsidRPr="006A4D95">
              <w:t>is prepared in accordance with legislative requirements and organisational policy and procedures.</w:t>
            </w:r>
          </w:p>
          <w:p w:rsidR="00000000" w:rsidRPr="006A4D95" w:rsidRDefault="005C20E4" w:rsidP="006A4D95">
            <w:pPr>
              <w:pStyle w:val="List"/>
            </w:pPr>
            <w:r w:rsidRPr="006A4D95">
              <w:t>2.3</w:t>
            </w:r>
            <w:r w:rsidRPr="006A4D95">
              <w:tab/>
            </w:r>
            <w:r w:rsidRPr="006A4D95">
              <w:t>All evidence is included in the brief that is likely to be admissible by the court.</w:t>
            </w:r>
          </w:p>
          <w:p w:rsidR="00000000" w:rsidRPr="006A4D95" w:rsidRDefault="005C20E4" w:rsidP="006A4D95">
            <w:pPr>
              <w:pStyle w:val="List"/>
            </w:pPr>
            <w:r w:rsidRPr="006A4D95">
              <w:t>2.4</w:t>
            </w:r>
            <w:r w:rsidRPr="006A4D95">
              <w:tab/>
              <w:t>Non-admissible evidence is separated and retained.</w:t>
            </w:r>
          </w:p>
          <w:p w:rsidR="00000000" w:rsidRPr="006A4D95" w:rsidRDefault="005C20E4" w:rsidP="006A4D95">
            <w:pPr>
              <w:pStyle w:val="List"/>
            </w:pPr>
            <w:r w:rsidRPr="006A4D95">
              <w:t>2.5</w:t>
            </w:r>
            <w:r w:rsidRPr="006A4D95">
              <w:tab/>
              <w:t>Similar proofs are identified and reviewed to confirm that evidence is sufficient to proceed to prosecution.</w:t>
            </w:r>
          </w:p>
          <w:p w:rsidR="00000000" w:rsidRDefault="005C20E4" w:rsidP="006A4D95">
            <w:pPr>
              <w:pStyle w:val="List"/>
              <w:rPr>
                <w:lang w:val="en-NZ"/>
              </w:rPr>
            </w:pPr>
            <w:r w:rsidRPr="006A4D95">
              <w:t>2.6</w:t>
            </w:r>
            <w:r w:rsidRPr="006A4D95">
              <w:tab/>
            </w:r>
            <w:r w:rsidRPr="006A4D95">
              <w:t>Security, recording and continuity of evidence are maintained in accordance with legislative requirements and organisational policy and procedures.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List"/>
              <w:rPr>
                <w:lang w:val="en-NZ"/>
              </w:rPr>
            </w:pPr>
            <w:r w:rsidRPr="006A4D95">
              <w:rPr>
                <w:rStyle w:val="SpecialBold"/>
              </w:rPr>
              <w:t>3</w:t>
            </w:r>
            <w:r w:rsidRPr="006A4D95">
              <w:t>.</w:t>
            </w:r>
            <w:r w:rsidRPr="006A4D95">
              <w:tab/>
            </w:r>
            <w:r w:rsidRPr="006A4D95">
              <w:rPr>
                <w:rStyle w:val="SpecialBold"/>
              </w:rPr>
              <w:t>Develop a brief of evidence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List"/>
            </w:pPr>
            <w:r w:rsidRPr="006A4D95">
              <w:t>3.1</w:t>
            </w:r>
            <w:r w:rsidRPr="006A4D95">
              <w:tab/>
              <w:t xml:space="preserve">Brief of evidence is planned and prepared according to </w:t>
            </w:r>
            <w:r w:rsidRPr="006A4D95">
              <w:rPr>
                <w:rStyle w:val="BoldandItalics"/>
              </w:rPr>
              <w:t xml:space="preserve">standards </w:t>
            </w:r>
            <w:r w:rsidRPr="006A4D95">
              <w:t>require</w:t>
            </w:r>
            <w:r w:rsidRPr="006A4D95">
              <w:t xml:space="preserve">d by the </w:t>
            </w:r>
            <w:r w:rsidRPr="006A4D95">
              <w:rPr>
                <w:rStyle w:val="BoldandItalics"/>
              </w:rPr>
              <w:t>prosecution</w:t>
            </w:r>
            <w:r w:rsidRPr="006A4D95">
              <w:rPr>
                <w:rStyle w:val="Emphasis"/>
              </w:rPr>
              <w:t>.</w:t>
            </w:r>
          </w:p>
          <w:p w:rsidR="00000000" w:rsidRPr="006A4D95" w:rsidRDefault="005C20E4" w:rsidP="006A4D95">
            <w:pPr>
              <w:pStyle w:val="List"/>
            </w:pPr>
            <w:r w:rsidRPr="006A4D95">
              <w:t>3.2</w:t>
            </w:r>
            <w:r w:rsidRPr="006A4D95">
              <w:tab/>
              <w:t xml:space="preserve">All </w:t>
            </w:r>
            <w:r w:rsidRPr="006A4D95">
              <w:rPr>
                <w:rStyle w:val="BoldandItalics"/>
              </w:rPr>
              <w:t xml:space="preserve">required information </w:t>
            </w:r>
            <w:r w:rsidRPr="006A4D95">
              <w:t>is included in the brief and meets all legal requirements.</w:t>
            </w:r>
          </w:p>
          <w:p w:rsidR="00000000" w:rsidRPr="006A4D95" w:rsidRDefault="005C20E4" w:rsidP="006A4D95">
            <w:pPr>
              <w:pStyle w:val="List"/>
            </w:pPr>
            <w:r w:rsidRPr="006A4D95">
              <w:t>3.3</w:t>
            </w:r>
            <w:r w:rsidRPr="006A4D95">
              <w:tab/>
              <w:t>Brief is provided to prosecution and other parties as required by law and organisational requirements.</w:t>
            </w:r>
          </w:p>
          <w:p w:rsidR="00000000" w:rsidRDefault="005C20E4" w:rsidP="006A4D95">
            <w:pPr>
              <w:pStyle w:val="List"/>
              <w:rPr>
                <w:lang w:val="en-NZ"/>
              </w:rPr>
            </w:pPr>
            <w:r w:rsidRPr="006A4D95">
              <w:t>3.4</w:t>
            </w:r>
            <w:r w:rsidRPr="006A4D95">
              <w:tab/>
              <w:t>When required, counsel is briefed o</w:t>
            </w:r>
            <w:r w:rsidRPr="006A4D95">
              <w:t>n the case and any circumstances that may affect the progress and outcomes.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List"/>
              <w:rPr>
                <w:lang w:val="en-NZ"/>
              </w:rPr>
            </w:pPr>
            <w:r w:rsidRPr="006A4D95">
              <w:rPr>
                <w:rStyle w:val="SpecialBold"/>
              </w:rPr>
              <w:t>4</w:t>
            </w:r>
            <w:r w:rsidRPr="006A4D95">
              <w:t>.</w:t>
            </w:r>
            <w:r w:rsidRPr="006A4D95">
              <w:tab/>
            </w:r>
            <w:r w:rsidRPr="006A4D95">
              <w:rPr>
                <w:rStyle w:val="SpecialBold"/>
              </w:rPr>
              <w:t>Coordinate witnesses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List"/>
            </w:pPr>
            <w:r w:rsidRPr="006A4D95">
              <w:t>4.1</w:t>
            </w:r>
            <w:r w:rsidRPr="006A4D95">
              <w:tab/>
              <w:t>When required, expert witnesses are identified, familiarised with the evidence, and utilised in accordance with organisational policy and procedures.</w:t>
            </w:r>
          </w:p>
          <w:p w:rsidR="00000000" w:rsidRPr="006A4D95" w:rsidRDefault="005C20E4" w:rsidP="006A4D95">
            <w:pPr>
              <w:pStyle w:val="List"/>
            </w:pPr>
            <w:r w:rsidRPr="006A4D95">
              <w:t>4</w:t>
            </w:r>
            <w:r w:rsidRPr="006A4D95">
              <w:t>.2</w:t>
            </w:r>
            <w:r w:rsidRPr="006A4D95">
              <w:tab/>
              <w:t>When required, witness summonses are organised in accordance with legal and organisational requirements.</w:t>
            </w:r>
          </w:p>
          <w:p w:rsidR="00000000" w:rsidRPr="006A4D95" w:rsidRDefault="005C20E4" w:rsidP="006A4D95">
            <w:pPr>
              <w:pStyle w:val="List"/>
            </w:pPr>
            <w:r w:rsidRPr="006A4D95">
              <w:t>4.3</w:t>
            </w:r>
            <w:r w:rsidRPr="006A4D95">
              <w:tab/>
              <w:t xml:space="preserve">Contact is maintained with </w:t>
            </w:r>
            <w:r w:rsidRPr="006A4D95">
              <w:rPr>
                <w:rStyle w:val="BoldandItalics"/>
              </w:rPr>
              <w:t xml:space="preserve">witnesses </w:t>
            </w:r>
            <w:r w:rsidRPr="006A4D95">
              <w:t xml:space="preserve">to ensure cooperation, communication and attendance at </w:t>
            </w:r>
            <w:r w:rsidRPr="006A4D95">
              <w:rPr>
                <w:rStyle w:val="BoldandItalics"/>
              </w:rPr>
              <w:t>proceedings</w:t>
            </w:r>
            <w:r w:rsidRPr="006A4D95">
              <w:rPr>
                <w:rStyle w:val="Emphasis"/>
              </w:rPr>
              <w:t>.</w:t>
            </w:r>
          </w:p>
        </w:tc>
      </w:tr>
    </w:tbl>
    <w:p w:rsidR="00000000" w:rsidRPr="006A4D95" w:rsidRDefault="005C20E4" w:rsidP="006A4D95">
      <w:pPr>
        <w:pStyle w:val="BodyText"/>
      </w:pPr>
    </w:p>
    <w:p w:rsidR="00000000" w:rsidRPr="006A4D95" w:rsidRDefault="005C20E4" w:rsidP="006A4D95">
      <w:pPr>
        <w:pStyle w:val="AllowPageBreak"/>
      </w:pPr>
    </w:p>
    <w:p w:rsidR="00000000" w:rsidRPr="006A4D95" w:rsidRDefault="005C20E4" w:rsidP="006A4D95">
      <w:pPr>
        <w:pStyle w:val="Heading1"/>
      </w:pPr>
      <w:bookmarkStart w:id="9" w:name="O_498295"/>
      <w:bookmarkEnd w:id="9"/>
      <w:r w:rsidRPr="006A4D95">
        <w:t xml:space="preserve">Required Skills and </w:t>
      </w:r>
      <w:r w:rsidRPr="006A4D95">
        <w:t>Knowledge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53"/>
      </w:tblGrid>
      <w:tr w:rsidR="00000000" w:rsidRPr="006A4D95" w:rsidTr="005C20E4"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t>This section describes the essential skills and knowledge and their level, required for this unit.</w:t>
            </w:r>
          </w:p>
        </w:tc>
      </w:tr>
      <w:tr w:rsidR="00000000" w:rsidRPr="006A4D95" w:rsidTr="005C20E4"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BodyText"/>
            </w:pPr>
            <w:r w:rsidRPr="006A4D95">
              <w:rPr>
                <w:rStyle w:val="SpecialBold"/>
              </w:rPr>
              <w:t>Skill requirements</w:t>
            </w:r>
          </w:p>
          <w:p w:rsidR="00000000" w:rsidRPr="006A4D95" w:rsidRDefault="005C20E4" w:rsidP="006A4D95">
            <w:pPr>
              <w:pStyle w:val="BodyText"/>
            </w:pPr>
            <w:r w:rsidRPr="006A4D95">
              <w:t>Look for evidence that confirms skills in: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undertaking analysis and research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undertaking collation and compilation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writing complex documents - reflecting key points of oral statements in written form in witness statements and in the brief of evidence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report writing using formal structures and language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making comparisons and exercising judgment about facts in written ma</w:t>
            </w:r>
            <w:r w:rsidRPr="006A4D95">
              <w:t>terials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communicating with witnesses from diverse backgrounds</w:t>
            </w:r>
          </w:p>
          <w:p w:rsidR="00000000" w:rsidRDefault="005C20E4" w:rsidP="006A4D95">
            <w:pPr>
              <w:pStyle w:val="ListBullet2"/>
              <w:rPr>
                <w:lang w:val="en-NZ"/>
              </w:rPr>
            </w:pPr>
            <w:r w:rsidRPr="006A4D95">
              <w:t>responding to diversity, including gender and disability</w:t>
            </w:r>
          </w:p>
        </w:tc>
      </w:tr>
      <w:tr w:rsidR="00000000" w:rsidRPr="006A4D95" w:rsidTr="005C20E4"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BodyText"/>
            </w:pPr>
            <w:r w:rsidRPr="006A4D95">
              <w:rPr>
                <w:rStyle w:val="SpecialBold"/>
              </w:rPr>
              <w:t>Knowledge requirements</w:t>
            </w:r>
          </w:p>
          <w:p w:rsidR="00000000" w:rsidRPr="006A4D95" w:rsidRDefault="005C20E4" w:rsidP="006A4D95">
            <w:pPr>
              <w:pStyle w:val="BodyText"/>
            </w:pPr>
            <w:r w:rsidRPr="006A4D95">
              <w:t>Look for evidence that confirms knowledge and understanding of: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sections of Evidence Act, Justice Act relating to preparation of a brief of evidence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admissible evidence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burden of proof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court hearing procedures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rules of evidence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requirements of brief of evidence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principles of disclosure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anti-discrimination law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organisat</w:t>
            </w:r>
            <w:r w:rsidRPr="006A4D95">
              <w:t>ional policies, guidelines and regulations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equity and diversity principles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public sector legislation such as occupational health and safety and environment relating to the preparation of a brief of evidence</w:t>
            </w:r>
          </w:p>
        </w:tc>
      </w:tr>
    </w:tbl>
    <w:p w:rsidR="00000000" w:rsidRPr="006A4D95" w:rsidRDefault="005C20E4" w:rsidP="006A4D95">
      <w:pPr>
        <w:pStyle w:val="BodyText"/>
      </w:pPr>
    </w:p>
    <w:p w:rsidR="00000000" w:rsidRPr="006A4D95" w:rsidRDefault="005C20E4" w:rsidP="006A4D95">
      <w:pPr>
        <w:pStyle w:val="AllowPageBreak"/>
      </w:pPr>
    </w:p>
    <w:p w:rsidR="00000000" w:rsidRPr="006A4D95" w:rsidRDefault="005C20E4" w:rsidP="006A4D95">
      <w:pPr>
        <w:pStyle w:val="Heading1"/>
      </w:pPr>
      <w:bookmarkStart w:id="10" w:name="O_498299"/>
      <w:bookmarkEnd w:id="10"/>
      <w:r w:rsidRPr="006A4D95">
        <w:t>Evidence Guide</w:t>
      </w:r>
    </w:p>
    <w:tbl>
      <w:tblPr>
        <w:tblW w:w="93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6662"/>
      </w:tblGrid>
      <w:tr w:rsidR="006A4D95" w:rsidRPr="006A4D95" w:rsidTr="005C20E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t>The Evidence Guide specifies the evidence required to demonstrate achievement in the unit of competency as a whole. It must be read in conjunction with the Unit descriptor, Performance Criteria, the Range Statement and the Assessment Guidelines for the Pub</w:t>
            </w:r>
            <w:r w:rsidRPr="006A4D95">
              <w:t>lic Sector Training Package.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BodyText"/>
            </w:pPr>
            <w:r w:rsidRPr="006A4D95">
              <w:rPr>
                <w:rStyle w:val="SpecialBold"/>
              </w:rPr>
              <w:t>Units to be assessed together</w:t>
            </w:r>
            <w:r w:rsidRPr="006A4D95"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ListBullet2"/>
            </w:pPr>
            <w:r w:rsidRPr="006A4D95">
              <w:rPr>
                <w:rStyle w:val="Emphasis"/>
              </w:rPr>
              <w:t>Pre</w:t>
            </w:r>
            <w:r w:rsidRPr="006A4D95">
              <w:t>-</w:t>
            </w:r>
            <w:r w:rsidRPr="006A4D95">
              <w:rPr>
                <w:rStyle w:val="Emphasis"/>
              </w:rPr>
              <w:t>requisite</w:t>
            </w:r>
            <w:r w:rsidRPr="006A4D95">
              <w:t xml:space="preserve"> units that </w:t>
            </w:r>
            <w:r w:rsidRPr="006A4D95">
              <w:rPr>
                <w:rStyle w:val="Underline"/>
              </w:rPr>
              <w:t>must</w:t>
            </w:r>
            <w:r w:rsidRPr="006A4D95">
              <w:t xml:space="preserve"> be achieved </w:t>
            </w:r>
            <w:r w:rsidRPr="006A4D95">
              <w:rPr>
                <w:rStyle w:val="Underline"/>
              </w:rPr>
              <w:t>prior</w:t>
            </w:r>
            <w:r w:rsidRPr="006A4D95">
              <w:t xml:space="preserve"> to this unit:</w:t>
            </w:r>
            <w:r w:rsidRPr="006A4D95">
              <w:rPr>
                <w:rStyle w:val="Emphasis"/>
              </w:rPr>
              <w:t>Nil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rPr>
                <w:rStyle w:val="Emphasis"/>
              </w:rPr>
              <w:t>Co</w:t>
            </w:r>
            <w:r w:rsidRPr="006A4D95">
              <w:t>-</w:t>
            </w:r>
            <w:r w:rsidRPr="006A4D95">
              <w:rPr>
                <w:rStyle w:val="Emphasis"/>
              </w:rPr>
              <w:t>requisite</w:t>
            </w:r>
            <w:r w:rsidRPr="006A4D95">
              <w:t xml:space="preserve"> units that </w:t>
            </w:r>
            <w:r w:rsidRPr="006A4D95">
              <w:rPr>
                <w:rStyle w:val="Underline"/>
              </w:rPr>
              <w:t>must</w:t>
            </w:r>
            <w:r w:rsidRPr="006A4D95">
              <w:t xml:space="preserve"> be assessed </w:t>
            </w:r>
            <w:r w:rsidRPr="006A4D95">
              <w:rPr>
                <w:rStyle w:val="Underline"/>
              </w:rPr>
              <w:t>with</w:t>
            </w:r>
            <w:r w:rsidRPr="006A4D95">
              <w:t xml:space="preserve"> this unit:</w:t>
            </w:r>
            <w:r w:rsidRPr="006A4D95">
              <w:rPr>
                <w:rStyle w:val="Emphasis"/>
              </w:rPr>
              <w:t>Nil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rPr>
                <w:rStyle w:val="Emphasis"/>
              </w:rPr>
              <w:t>Co</w:t>
            </w:r>
            <w:r w:rsidRPr="006A4D95">
              <w:t>-</w:t>
            </w:r>
            <w:r w:rsidRPr="006A4D95">
              <w:rPr>
                <w:rStyle w:val="Emphasis"/>
              </w:rPr>
              <w:t>assessed units</w:t>
            </w:r>
            <w:r w:rsidRPr="006A4D95">
              <w:t xml:space="preserve"> that </w:t>
            </w:r>
            <w:r w:rsidRPr="006A4D95">
              <w:rPr>
                <w:rStyle w:val="Underline"/>
              </w:rPr>
              <w:t>may</w:t>
            </w:r>
            <w:r w:rsidRPr="006A4D95">
              <w:t xml:space="preserve"> be assessed with this unit to increase the efficiency and realism of the assessment process include, but are not limited to:</w:t>
            </w:r>
          </w:p>
          <w:p w:rsidR="00000000" w:rsidRPr="006A4D95" w:rsidRDefault="005C20E4" w:rsidP="006A4D95">
            <w:pPr>
              <w:pStyle w:val="ListBullet3"/>
            </w:pPr>
            <w:r w:rsidRPr="006A4D95">
              <w:t>PSPETHC401A Uphold and support the values and principles of public service</w:t>
            </w:r>
          </w:p>
          <w:p w:rsidR="00000000" w:rsidRPr="006A4D95" w:rsidRDefault="005C20E4" w:rsidP="006A4D95">
            <w:pPr>
              <w:pStyle w:val="ListBullet3"/>
            </w:pPr>
            <w:r w:rsidRPr="006A4D95">
              <w:t>PSPLEGN401A Encourage compliance with legislation in the public sector</w:t>
            </w:r>
          </w:p>
          <w:p w:rsidR="00000000" w:rsidRPr="006A4D95" w:rsidRDefault="005C20E4" w:rsidP="006A4D95">
            <w:pPr>
              <w:pStyle w:val="ListBullet3"/>
            </w:pPr>
            <w:r w:rsidRPr="006A4D95">
              <w:t>PSPGOV422A Apply government processes</w:t>
            </w:r>
          </w:p>
          <w:p w:rsidR="00000000" w:rsidRPr="006A4D95" w:rsidRDefault="005C20E4" w:rsidP="006A4D95">
            <w:pPr>
              <w:pStyle w:val="ListBullet3"/>
            </w:pPr>
            <w:r w:rsidRPr="006A4D95">
              <w:t>PSPREG401C Exercise regulatory powers</w:t>
            </w:r>
          </w:p>
          <w:p w:rsidR="00000000" w:rsidRPr="006A4D95" w:rsidRDefault="005C20E4" w:rsidP="006A4D95">
            <w:pPr>
              <w:pStyle w:val="ListBullet3"/>
            </w:pPr>
            <w:r w:rsidRPr="006A4D95">
              <w:t xml:space="preserve">PSPREG407B Produce formal record of interview </w:t>
            </w:r>
          </w:p>
          <w:p w:rsidR="00000000" w:rsidRPr="006A4D95" w:rsidRDefault="005C20E4" w:rsidP="006A4D95">
            <w:pPr>
              <w:pStyle w:val="ListBullet3"/>
            </w:pPr>
            <w:r w:rsidRPr="006A4D95">
              <w:t>PSPREG411A Gather information through interviews</w:t>
            </w:r>
          </w:p>
          <w:p w:rsidR="00000000" w:rsidRDefault="005C20E4" w:rsidP="006A4D95">
            <w:pPr>
              <w:pStyle w:val="ListBullet3"/>
              <w:rPr>
                <w:lang w:val="en-NZ"/>
              </w:rPr>
            </w:pPr>
            <w:r w:rsidRPr="006A4D95">
              <w:t>PSPREG412A Ga</w:t>
            </w:r>
            <w:r w:rsidRPr="006A4D95">
              <w:t>ther and manage evidence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rPr>
                <w:rStyle w:val="SpecialBold"/>
              </w:rPr>
              <w:t>Overview of evidence requirements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BodyText"/>
            </w:pPr>
            <w:r w:rsidRPr="006A4D95">
              <w:t>In addition to integrated demonstration of the elements and their related performance criteria, look for evidence that confirms: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 xml:space="preserve">the knowledge requirements of this unit 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the skill requirements of this unit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application of the Employability Skills as they relate to this unit (see Employability Summaries in Qualifications Framework)</w:t>
            </w:r>
          </w:p>
          <w:p w:rsidR="00000000" w:rsidRDefault="005C20E4" w:rsidP="006A4D95">
            <w:pPr>
              <w:pStyle w:val="ListBullet2"/>
              <w:rPr>
                <w:lang w:val="en-NZ"/>
              </w:rPr>
            </w:pPr>
            <w:r w:rsidRPr="006A4D95">
              <w:t>preparing a brief of evidence in a range of (3 or more) contexts (or occasions, over time)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rPr>
                <w:rStyle w:val="SpecialBold"/>
              </w:rPr>
              <w:t>Re</w:t>
            </w:r>
            <w:r w:rsidRPr="006A4D95">
              <w:rPr>
                <w:rStyle w:val="SpecialBold"/>
              </w:rPr>
              <w:t>sources required to carry out assessment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BodyText"/>
            </w:pPr>
            <w:r w:rsidRPr="006A4D95">
              <w:t>These resources include: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legislation, regulations, policy, guidelines and standards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public sector values and codes of conduct</w:t>
            </w:r>
          </w:p>
          <w:p w:rsidR="00000000" w:rsidRDefault="005C20E4" w:rsidP="006A4D95">
            <w:pPr>
              <w:pStyle w:val="ListBullet2"/>
              <w:rPr>
                <w:lang w:val="en-NZ"/>
              </w:rPr>
            </w:pPr>
            <w:r w:rsidRPr="006A4D95">
              <w:t>case studies and workplace scenarios to capture the range of situations likely to be enc</w:t>
            </w:r>
            <w:r w:rsidRPr="006A4D95">
              <w:t>ountered when preparing a brief of evidence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rPr>
                <w:rStyle w:val="SpecialBold"/>
              </w:rPr>
              <w:lastRenderedPageBreak/>
              <w:t>Where and how to assess evidence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BodyText"/>
            </w:pPr>
            <w:r w:rsidRPr="006A4D95">
              <w:t xml:space="preserve">Valid assessment of this unit requires: 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a workplace environment or one that closely resembles normal work practice and replicates the range of conditions likely to be encounter</w:t>
            </w:r>
            <w:r w:rsidRPr="006A4D95">
              <w:t>ed when preparing a brief of evidence, including coping with difficulties, irregularities and breakdowns in routine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preparing a brief of evidence in a range of (3 or more) contexts (or occasions, over time)</w:t>
            </w:r>
          </w:p>
          <w:p w:rsidR="00000000" w:rsidRPr="006A4D95" w:rsidRDefault="005C20E4" w:rsidP="006A4D95">
            <w:pPr>
              <w:pStyle w:val="BodyText"/>
            </w:pPr>
            <w:r w:rsidRPr="006A4D95">
              <w:t>Assessment methods should reflect workplace demands, such as literacy, and the needs of particular groups, such as: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people with disabilities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people from culturally and linguistically diverse backgrounds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Aboriginal and Torres Strait Islander people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women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y</w:t>
            </w:r>
            <w:r w:rsidRPr="006A4D95">
              <w:t>oung people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older people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people in rural and remote locations</w:t>
            </w:r>
          </w:p>
          <w:p w:rsidR="00000000" w:rsidRPr="006A4D95" w:rsidRDefault="005C20E4" w:rsidP="006A4D95">
            <w:pPr>
              <w:pStyle w:val="BodyText"/>
            </w:pPr>
            <w:r w:rsidRPr="006A4D95">
              <w:t xml:space="preserve">Assessment methods suitable for valid and reliable assessment of this competency may include, but are not limited to, a combination of 2 or more of: 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case studies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 xml:space="preserve">portfolios 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projects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questioni</w:t>
            </w:r>
            <w:r w:rsidRPr="006A4D95">
              <w:t>ng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scenarios</w:t>
            </w:r>
          </w:p>
          <w:p w:rsidR="00000000" w:rsidRDefault="005C20E4" w:rsidP="006A4D95">
            <w:pPr>
              <w:pStyle w:val="ListBullet2"/>
              <w:rPr>
                <w:lang w:val="en-NZ"/>
              </w:rPr>
            </w:pPr>
            <w:r w:rsidRPr="006A4D95">
              <w:t xml:space="preserve">authenticated evidence from the workplace and/or training courses   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rPr>
                <w:rStyle w:val="SpecialBold"/>
              </w:rPr>
              <w:t>For consistency of assessment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BodyText"/>
            </w:pPr>
            <w:r w:rsidRPr="006A4D95">
              <w:t xml:space="preserve">Evidence must be gathered over time in a range of contexts to ensure the person can achieve the unit outcome and apply the competency in </w:t>
            </w:r>
            <w:r w:rsidRPr="006A4D95">
              <w:t>different situations or environments</w:t>
            </w:r>
          </w:p>
        </w:tc>
      </w:tr>
    </w:tbl>
    <w:p w:rsidR="00000000" w:rsidRPr="006A4D95" w:rsidRDefault="005C20E4" w:rsidP="006A4D95">
      <w:pPr>
        <w:pStyle w:val="BodyText"/>
      </w:pPr>
    </w:p>
    <w:p w:rsidR="00000000" w:rsidRPr="006A4D95" w:rsidRDefault="005C20E4" w:rsidP="006A4D95">
      <w:pPr>
        <w:pStyle w:val="AllowPageBreak"/>
      </w:pPr>
    </w:p>
    <w:p w:rsidR="00000000" w:rsidRPr="006A4D95" w:rsidRDefault="005C20E4" w:rsidP="006A4D95">
      <w:pPr>
        <w:pStyle w:val="Heading1"/>
      </w:pPr>
      <w:bookmarkStart w:id="11" w:name="O_498297"/>
      <w:bookmarkEnd w:id="11"/>
      <w:r w:rsidRPr="006A4D95">
        <w:t>Range Statement</w:t>
      </w:r>
    </w:p>
    <w:tbl>
      <w:tblPr>
        <w:tblW w:w="93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6662"/>
      </w:tblGrid>
      <w:tr w:rsidR="006A4D95" w:rsidRPr="006A4D95" w:rsidTr="005C20E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t>The Range Statement provides information about the context in which the unit of competency is carried out. The variables cater for differences between States and Territories and the Co</w:t>
            </w:r>
            <w:r w:rsidRPr="006A4D95">
              <w:t>mmonwealth, and between organisations and workplaces. They allow for different work requirements, work practices and knowledge. The Range Statement also provides a focus for assessment. It relates to the unit as a whole. Text in</w:t>
            </w:r>
            <w:r w:rsidRPr="006A4D95">
              <w:rPr>
                <w:rStyle w:val="BoldandItalics"/>
              </w:rPr>
              <w:t xml:space="preserve"> bold italics</w:t>
            </w:r>
            <w:r w:rsidRPr="006A4D95">
              <w:t xml:space="preserve"> in the Perform</w:t>
            </w:r>
            <w:r w:rsidRPr="006A4D95">
              <w:t>ance Criteria is explained here.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rPr>
                <w:rStyle w:val="BoldandItalics"/>
              </w:rPr>
              <w:t xml:space="preserve">Evidence </w:t>
            </w:r>
            <w:r w:rsidRPr="006A4D95">
              <w:t>may include: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ListBullet2"/>
            </w:pPr>
            <w:r w:rsidRPr="006A4D95">
              <w:t>documentary, real and oral evidence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statements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interviews</w:t>
            </w:r>
          </w:p>
          <w:p w:rsidR="00000000" w:rsidRDefault="005C20E4" w:rsidP="006A4D95">
            <w:pPr>
              <w:pStyle w:val="ListBullet2"/>
              <w:rPr>
                <w:lang w:val="en-NZ"/>
              </w:rPr>
            </w:pPr>
            <w:r w:rsidRPr="006A4D95">
              <w:t>exhibits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rPr>
                <w:rStyle w:val="BoldandItalics"/>
              </w:rPr>
              <w:t>Required standards</w:t>
            </w:r>
            <w:r w:rsidRPr="006A4D95">
              <w:t xml:space="preserve"> may include: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ListBullet2"/>
            </w:pPr>
            <w:r w:rsidRPr="006A4D95">
              <w:t xml:space="preserve">having the brief reviewed by a legal authority to ensure completeness, accuracy, whether </w:t>
            </w:r>
            <w:r w:rsidRPr="006A4D95">
              <w:t>a prima facie case exists, and the likelihood of success</w:t>
            </w:r>
          </w:p>
          <w:p w:rsidR="00000000" w:rsidRDefault="005C20E4" w:rsidP="006A4D95">
            <w:pPr>
              <w:pStyle w:val="ListBullet2"/>
              <w:rPr>
                <w:lang w:val="en-NZ"/>
              </w:rPr>
            </w:pPr>
            <w:r w:rsidRPr="006A4D95">
              <w:t>correlating witness statements to exhibits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rPr>
                <w:rStyle w:val="BoldandItalics"/>
              </w:rPr>
              <w:t xml:space="preserve">Prosecution </w:t>
            </w:r>
            <w:r w:rsidRPr="006A4D95">
              <w:t>may include: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ListBullet2"/>
            </w:pPr>
            <w:r w:rsidRPr="006A4D95">
              <w:t>organisation's prosecutor or prosecuting team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State/Territory/Commonwealth government prosecution authority</w:t>
            </w:r>
          </w:p>
          <w:p w:rsidR="00000000" w:rsidRDefault="005C20E4" w:rsidP="006A4D95">
            <w:pPr>
              <w:pStyle w:val="ListBullet2"/>
              <w:rPr>
                <w:lang w:val="en-NZ"/>
              </w:rPr>
            </w:pPr>
            <w:r w:rsidRPr="006A4D95">
              <w:t>Crown solicitor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rPr>
                <w:rStyle w:val="BoldandItalics"/>
              </w:rPr>
              <w:lastRenderedPageBreak/>
              <w:t>Info</w:t>
            </w:r>
            <w:r w:rsidRPr="006A4D95">
              <w:rPr>
                <w:rStyle w:val="BoldandItalics"/>
              </w:rPr>
              <w:t>rmation required in a brief of evidence</w:t>
            </w:r>
            <w:r w:rsidRPr="006A4D95">
              <w:t xml:space="preserve"> may include: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ListBullet2"/>
            </w:pPr>
            <w:r w:rsidRPr="006A4D95">
              <w:t>precedents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relevant sections of legislation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witness statements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records of interview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admissible evidence</w:t>
            </w:r>
          </w:p>
          <w:p w:rsidR="00000000" w:rsidRDefault="005C20E4" w:rsidP="006A4D95">
            <w:pPr>
              <w:pStyle w:val="ListBullet2"/>
              <w:rPr>
                <w:lang w:val="en-NZ"/>
              </w:rPr>
            </w:pPr>
            <w:r w:rsidRPr="006A4D95">
              <w:t>other evidence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rPr>
                <w:rStyle w:val="BoldandItalics"/>
              </w:rPr>
              <w:t xml:space="preserve">Witnesses </w:t>
            </w:r>
            <w:r w:rsidRPr="006A4D95">
              <w:t>may include: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ListBullet2"/>
            </w:pPr>
            <w:r w:rsidRPr="006A4D95">
              <w:t>organisational personnel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professionals/experts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those with specific needs such as:</w:t>
            </w:r>
          </w:p>
          <w:p w:rsidR="00000000" w:rsidRPr="006A4D95" w:rsidRDefault="005C20E4" w:rsidP="006A4D95">
            <w:pPr>
              <w:pStyle w:val="ListBullet3"/>
            </w:pPr>
            <w:r w:rsidRPr="006A4D95">
              <w:t>distressed persons</w:t>
            </w:r>
          </w:p>
          <w:p w:rsidR="00000000" w:rsidRPr="006A4D95" w:rsidRDefault="005C20E4" w:rsidP="006A4D95">
            <w:pPr>
              <w:pStyle w:val="ListBullet3"/>
            </w:pPr>
            <w:r w:rsidRPr="006A4D95">
              <w:t>hostile witnesses</w:t>
            </w:r>
          </w:p>
          <w:p w:rsidR="00000000" w:rsidRPr="006A4D95" w:rsidRDefault="005C20E4" w:rsidP="006A4D95">
            <w:pPr>
              <w:pStyle w:val="ListBullet3"/>
            </w:pPr>
            <w:r w:rsidRPr="006A4D95">
              <w:t>minors</w:t>
            </w:r>
          </w:p>
          <w:p w:rsidR="00000000" w:rsidRDefault="005C20E4" w:rsidP="006A4D95">
            <w:pPr>
              <w:pStyle w:val="ListBullet3"/>
              <w:rPr>
                <w:lang w:val="en-NZ"/>
              </w:rPr>
            </w:pPr>
            <w:r w:rsidRPr="006A4D95">
              <w:t>complainants</w:t>
            </w:r>
          </w:p>
        </w:tc>
      </w:tr>
      <w:tr w:rsidR="00000000" w:rsidRPr="006A4D95" w:rsidTr="005C20E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5C20E4" w:rsidP="006A4D95">
            <w:pPr>
              <w:pStyle w:val="BodyText"/>
              <w:rPr>
                <w:lang w:val="en-NZ"/>
              </w:rPr>
            </w:pPr>
            <w:r w:rsidRPr="006A4D95">
              <w:rPr>
                <w:rStyle w:val="BoldandItalics"/>
              </w:rPr>
              <w:t xml:space="preserve">Proceedings </w:t>
            </w:r>
            <w:r w:rsidRPr="006A4D95">
              <w:t>may include: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6A4D95" w:rsidRDefault="005C20E4" w:rsidP="006A4D95">
            <w:pPr>
              <w:pStyle w:val="ListBullet2"/>
            </w:pPr>
            <w:r w:rsidRPr="006A4D95">
              <w:t>courts</w:t>
            </w:r>
          </w:p>
          <w:p w:rsidR="00000000" w:rsidRPr="006A4D95" w:rsidRDefault="005C20E4" w:rsidP="006A4D95">
            <w:pPr>
              <w:pStyle w:val="ListBullet2"/>
            </w:pPr>
            <w:r w:rsidRPr="006A4D95">
              <w:t>tribunals</w:t>
            </w:r>
          </w:p>
        </w:tc>
      </w:tr>
    </w:tbl>
    <w:p w:rsidR="005C20E4" w:rsidRDefault="005C20E4" w:rsidP="006A4D95">
      <w:pPr>
        <w:pStyle w:val="BodyText"/>
      </w:pPr>
    </w:p>
    <w:p w:rsidR="005C20E4" w:rsidRDefault="005C20E4" w:rsidP="006A4D95">
      <w:pPr>
        <w:pStyle w:val="BodyText"/>
      </w:pPr>
    </w:p>
    <w:p w:rsidR="00000000" w:rsidRPr="006A4D95" w:rsidRDefault="005C20E4" w:rsidP="006A4D95">
      <w:pPr>
        <w:pStyle w:val="Heading1"/>
      </w:pPr>
      <w:bookmarkStart w:id="12" w:name="O_498303"/>
      <w:bookmarkEnd w:id="12"/>
      <w:r w:rsidRPr="006A4D95">
        <w:t>Unit Sector(s)</w:t>
      </w:r>
    </w:p>
    <w:p w:rsidR="00000000" w:rsidRPr="006A4D95" w:rsidRDefault="005C20E4" w:rsidP="006A4D95">
      <w:pPr>
        <w:pStyle w:val="BodyText"/>
      </w:pPr>
      <w:r w:rsidRPr="006A4D95">
        <w:t>Not applicable.</w:t>
      </w:r>
    </w:p>
    <w:p w:rsidR="00000000" w:rsidRPr="006A4D95" w:rsidRDefault="005C20E4" w:rsidP="006A4D95"/>
    <w:sectPr w:rsidR="00000000" w:rsidRPr="006A4D95" w:rsidSect="006A4D95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20E4">
      <w:r>
        <w:separator/>
      </w:r>
    </w:p>
  </w:endnote>
  <w:endnote w:type="continuationSeparator" w:id="0">
    <w:p w:rsidR="00000000" w:rsidRDefault="005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95" w:rsidRDefault="006A4D95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5C20E4" w:rsidRDefault="005C20E4" w:rsidP="005C20E4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95" w:rsidRDefault="006A4D95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E4" w:rsidRDefault="005C20E4" w:rsidP="006A4D95">
    <w:pPr>
      <w:pStyle w:val="Footer"/>
      <w:framePr w:wrap="around"/>
    </w:pPr>
    <w:fldSimple w:instr=" DOCPROPERTY  Subject  \* MERGEFORMAT ">
      <w:r>
        <w:t>6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6</w:t>
      </w:r>
    </w:fldSimple>
  </w:p>
  <w:p w:rsidR="005C20E4" w:rsidRDefault="005C20E4" w:rsidP="006A4D95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2012</w:t>
    </w:r>
    <w:r>
      <w:fldChar w:fldCharType="end"/>
    </w:r>
    <w:r>
      <w:tab/>
    </w:r>
    <w:fldSimple w:instr=" DOCPROPERTY  Author  \* MERGEFORMAT ">
      <w:r>
        <w:t>Government Skills Australia</w:t>
      </w:r>
    </w:fldSimple>
  </w:p>
  <w:p w:rsidR="005C20E4" w:rsidRDefault="005C20E4" w:rsidP="006A4D95">
    <w:pPr>
      <w:pStyle w:val="Footer"/>
      <w:framePr w:wrap="around" w:hAnchor="text" w:x="285"/>
      <w:pBdr>
        <w:top w:val="none" w:sz="0" w:space="0" w:color="auto"/>
      </w:pBdr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20E4">
      <w:r>
        <w:separator/>
      </w:r>
    </w:p>
  </w:footnote>
  <w:footnote w:type="continuationSeparator" w:id="0">
    <w:p w:rsidR="00000000" w:rsidRDefault="005C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95" w:rsidRDefault="006A4D95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95" w:rsidRPr="005C20E4" w:rsidRDefault="005C20E4" w:rsidP="005C20E4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8ECE9B9" wp14:editId="03CF13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032" cy="10953482"/>
          <wp:effectExtent l="19050" t="0" r="268" b="0"/>
          <wp:wrapNone/>
          <wp:docPr id="2" name="Picture 0" descr="titl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032" cy="1095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95" w:rsidRDefault="006A4D95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E4" w:rsidRPr="002D2AF8" w:rsidRDefault="005C20E4" w:rsidP="006A4D95">
    <w:pPr>
      <w:pStyle w:val="Header"/>
      <w:framePr w:wrap="around"/>
    </w:pPr>
    <w:fldSimple w:instr=" TITLE   \* MERGEFORMAT ">
      <w:r>
        <w:t>PSPREG409B Prepare a brief of evidence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2 November 2012</w:t>
    </w:r>
    <w:r>
      <w:fldChar w:fldCharType="end"/>
    </w:r>
  </w:p>
  <w:p w:rsidR="005C20E4" w:rsidRDefault="005C20E4" w:rsidP="006A4D95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3"/>
    <w:multiLevelType w:val="singleLevel"/>
    <w:tmpl w:val="A9022C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269C8E14"/>
    <w:lvl w:ilvl="0">
      <w:numFmt w:val="bullet"/>
      <w:lvlText w:val="*"/>
      <w:lvlJc w:val="left"/>
    </w:lvl>
  </w:abstractNum>
  <w:abstractNum w:abstractNumId="8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3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5"/>
  </w:num>
  <w:num w:numId="16">
    <w:abstractNumId w:val="7"/>
    <w:lvlOverride w:ilvl="0">
      <w:lvl w:ilvl="0">
        <w:numFmt w:val="bullet"/>
        <w:lvlText w:val=""/>
        <w:legacy w:legacy="1" w:legacySpace="0" w:legacyIndent="0"/>
        <w:lvlJc w:val="left"/>
        <w:pPr>
          <w:ind w:left="36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4D95"/>
    <w:rsid w:val="005C20E4"/>
    <w:rsid w:val="006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 w:unhideWhenUsed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unhideWhenUsed="0"/>
    <w:lsdException w:name="List Bullet 3" w:uiPriority="0" w:unhideWhenUsed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95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6A4D95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6A4D95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6A4D95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6A4D95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6A4D95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6A4D95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6A4D95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6A4D95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A4D95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6A4D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4D95"/>
  </w:style>
  <w:style w:type="character" w:customStyle="1" w:styleId="Heading1Char">
    <w:name w:val="Heading 1 Char"/>
    <w:basedOn w:val="DefaultParagraphFont"/>
    <w:link w:val="Heading1"/>
    <w:rsid w:val="006A4D95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6A4D95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6A4D95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rsid w:val="006A4D95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6A4D95"/>
    <w:rPr>
      <w:rFonts w:ascii="Times New Roman" w:eastAsia="Times New Roman" w:hAnsi="Times New Roman" w:cs="Times New Roman"/>
      <w:sz w:val="16"/>
      <w:lang w:eastAsia="en-US"/>
    </w:rPr>
  </w:style>
  <w:style w:type="paragraph" w:styleId="List">
    <w:name w:val="List"/>
    <w:basedOn w:val="BodyText"/>
    <w:next w:val="BodyText"/>
    <w:rsid w:val="006A4D95"/>
    <w:pPr>
      <w:tabs>
        <w:tab w:val="left" w:pos="340"/>
      </w:tabs>
      <w:spacing w:before="60" w:after="60"/>
      <w:ind w:left="340" w:hanging="340"/>
    </w:pPr>
  </w:style>
  <w:style w:type="character" w:customStyle="1" w:styleId="SpecialBold">
    <w:name w:val="Special Bold"/>
    <w:basedOn w:val="DefaultParagraphFont"/>
    <w:rsid w:val="006A4D95"/>
    <w:rPr>
      <w:b/>
      <w:spacing w:val="0"/>
    </w:rPr>
  </w:style>
  <w:style w:type="paragraph" w:styleId="ListBullet2">
    <w:name w:val="List Bullet 2"/>
    <w:basedOn w:val="List2"/>
    <w:rsid w:val="006A4D95"/>
    <w:pPr>
      <w:numPr>
        <w:numId w:val="14"/>
      </w:numPr>
      <w:tabs>
        <w:tab w:val="clear" w:pos="680"/>
      </w:tabs>
    </w:pPr>
  </w:style>
  <w:style w:type="character" w:styleId="Emphasis">
    <w:name w:val="Emphasis"/>
    <w:basedOn w:val="DefaultParagraphFont"/>
    <w:qFormat/>
    <w:rsid w:val="006A4D95"/>
    <w:rPr>
      <w:i/>
    </w:rPr>
  </w:style>
  <w:style w:type="paragraph" w:customStyle="1" w:styleId="SuperHeading">
    <w:name w:val="SuperHeading"/>
    <w:basedOn w:val="Normal"/>
    <w:rsid w:val="006A4D95"/>
    <w:pPr>
      <w:spacing w:before="240" w:after="120"/>
      <w:outlineLvl w:val="0"/>
    </w:pPr>
    <w:rPr>
      <w:rFonts w:ascii="Times New Roman" w:hAnsi="Times New Roman"/>
      <w:b/>
      <w:sz w:val="28"/>
    </w:rPr>
  </w:style>
  <w:style w:type="paragraph" w:customStyle="1" w:styleId="AllowPageBreak">
    <w:name w:val="AllowPageBreak"/>
    <w:rsid w:val="006A4D95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paragraph" w:styleId="ListBullet3">
    <w:name w:val="List Bullet 3"/>
    <w:basedOn w:val="List3"/>
    <w:rsid w:val="006A4D95"/>
    <w:pPr>
      <w:numPr>
        <w:numId w:val="2"/>
      </w:numPr>
      <w:tabs>
        <w:tab w:val="clear" w:pos="1021"/>
      </w:tabs>
      <w:ind w:left="1037" w:hanging="357"/>
    </w:pPr>
  </w:style>
  <w:style w:type="character" w:customStyle="1" w:styleId="Underline">
    <w:name w:val="Underline"/>
    <w:basedOn w:val="DefaultParagraphFont"/>
    <w:qFormat/>
    <w:rsid w:val="006A4D95"/>
    <w:rPr>
      <w:u w:val="single"/>
    </w:rPr>
  </w:style>
  <w:style w:type="character" w:customStyle="1" w:styleId="BoldandItalics">
    <w:name w:val="Bold and Italics"/>
    <w:qFormat/>
    <w:rsid w:val="006A4D95"/>
    <w:rPr>
      <w:b/>
      <w:i/>
      <w:u w:val="none"/>
    </w:rPr>
  </w:style>
  <w:style w:type="character" w:customStyle="1" w:styleId="Heading2Char">
    <w:name w:val="Heading 2 Char"/>
    <w:basedOn w:val="DefaultParagraphFont"/>
    <w:link w:val="Heading2"/>
    <w:rsid w:val="006A4D95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6A4D95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A4D95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A4D95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A4D95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A4D95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A4D95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A4D95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6A4D95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6A4D95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6A4D95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6A4D95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6A4D95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Title">
    <w:name w:val="Title"/>
    <w:basedOn w:val="HeadingBase"/>
    <w:link w:val="TitleChar"/>
    <w:qFormat/>
    <w:rsid w:val="006A4D95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6A4D95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6A4D95"/>
    <w:pPr>
      <w:tabs>
        <w:tab w:val="left" w:pos="3600"/>
        <w:tab w:val="left" w:pos="3958"/>
      </w:tabs>
    </w:pPr>
  </w:style>
  <w:style w:type="paragraph" w:styleId="ListBullet">
    <w:name w:val="List Bullet"/>
    <w:basedOn w:val="List"/>
    <w:rsid w:val="006A4D95"/>
    <w:pPr>
      <w:numPr>
        <w:numId w:val="13"/>
      </w:numPr>
      <w:tabs>
        <w:tab w:val="clear" w:pos="340"/>
      </w:tabs>
      <w:spacing w:before="40" w:after="40"/>
    </w:pPr>
  </w:style>
  <w:style w:type="paragraph" w:customStyle="1" w:styleId="Note">
    <w:name w:val="Note"/>
    <w:basedOn w:val="BodyText"/>
    <w:rsid w:val="006A4D95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6A4D95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6A4D95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6A4D95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Index1">
    <w:name w:val="index 1"/>
    <w:basedOn w:val="Normal"/>
    <w:next w:val="Normal"/>
    <w:semiHidden/>
    <w:rsid w:val="006A4D95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6A4D95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6A4D95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6A4D95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6A4D95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6A4D95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6A4D95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6A4D95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6A4D95"/>
    <w:pPr>
      <w:tabs>
        <w:tab w:val="clear" w:pos="3600"/>
        <w:tab w:val="clear" w:pos="3958"/>
      </w:tabs>
      <w:jc w:val="right"/>
    </w:pPr>
  </w:style>
  <w:style w:type="paragraph" w:styleId="Caption">
    <w:name w:val="caption"/>
    <w:basedOn w:val="BodyText"/>
    <w:next w:val="Normal"/>
    <w:qFormat/>
    <w:rsid w:val="006A4D95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6A4D95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6A4D95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6A4D95"/>
  </w:style>
  <w:style w:type="paragraph" w:styleId="TableofFigures">
    <w:name w:val="table of figures"/>
    <w:basedOn w:val="Normal"/>
    <w:next w:val="Normal"/>
    <w:semiHidden/>
    <w:rsid w:val="006A4D95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6A4D95"/>
    <w:pPr>
      <w:numPr>
        <w:numId w:val="11"/>
      </w:numPr>
    </w:pPr>
  </w:style>
  <w:style w:type="character" w:customStyle="1" w:styleId="WingdingSymbols">
    <w:name w:val="Wingding Symbols"/>
    <w:rsid w:val="006A4D95"/>
    <w:rPr>
      <w:rFonts w:ascii="Wingdings" w:hAnsi="Wingdings"/>
    </w:rPr>
  </w:style>
  <w:style w:type="paragraph" w:customStyle="1" w:styleId="TableHeading">
    <w:name w:val="Table Heading"/>
    <w:basedOn w:val="HeadingBase"/>
    <w:rsid w:val="006A4D95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6A4D95"/>
    <w:rPr>
      <w:color w:val="0033CC"/>
      <w:u w:val="none"/>
    </w:rPr>
  </w:style>
  <w:style w:type="paragraph" w:customStyle="1" w:styleId="BodyTextRight">
    <w:name w:val="Body Text Right"/>
    <w:basedOn w:val="BodyText"/>
    <w:rsid w:val="006A4D95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6A4D95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6A4D95"/>
    <w:pPr>
      <w:numPr>
        <w:numId w:val="10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6A4D95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6A4D95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6A4D95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6A4D95"/>
    <w:rPr>
      <w:sz w:val="32"/>
    </w:rPr>
  </w:style>
  <w:style w:type="paragraph" w:customStyle="1" w:styleId="HeadingProcedure">
    <w:name w:val="Heading Procedure"/>
    <w:basedOn w:val="HeadingBase"/>
    <w:next w:val="Normal"/>
    <w:rsid w:val="006A4D95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6A4D95"/>
    <w:pPr>
      <w:spacing w:before="60" w:after="60"/>
    </w:pPr>
  </w:style>
  <w:style w:type="paragraph" w:styleId="ListContinue">
    <w:name w:val="List Continue"/>
    <w:basedOn w:val="List"/>
    <w:rsid w:val="006A4D95"/>
    <w:pPr>
      <w:ind w:firstLine="0"/>
    </w:pPr>
  </w:style>
  <w:style w:type="paragraph" w:customStyle="1" w:styleId="ListNote">
    <w:name w:val="List Note"/>
    <w:basedOn w:val="List"/>
    <w:rsid w:val="006A4D95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6A4D95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6A4D95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6A4D95"/>
    <w:rPr>
      <w:rFonts w:ascii="Courier New" w:hAnsi="Courier New"/>
    </w:rPr>
  </w:style>
  <w:style w:type="paragraph" w:customStyle="1" w:styleId="NoteBullet">
    <w:name w:val="Note Bullet"/>
    <w:basedOn w:val="Note"/>
    <w:rsid w:val="006A4D95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6A4D95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6A4D95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6A4D95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6A4D95"/>
    <w:pPr>
      <w:numPr>
        <w:numId w:val="12"/>
      </w:numPr>
    </w:pPr>
  </w:style>
  <w:style w:type="paragraph" w:styleId="PlainText">
    <w:name w:val="Plain Text"/>
    <w:basedOn w:val="Normal"/>
    <w:link w:val="PlainTextChar"/>
    <w:rsid w:val="006A4D95"/>
    <w:rPr>
      <w:sz w:val="20"/>
    </w:rPr>
  </w:style>
  <w:style w:type="character" w:customStyle="1" w:styleId="PlainTextChar">
    <w:name w:val="Plain Text Char"/>
    <w:basedOn w:val="DefaultParagraphFont"/>
    <w:link w:val="PlainText"/>
    <w:rsid w:val="006A4D95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6A4D95"/>
    <w:rPr>
      <w:b/>
      <w:smallCaps/>
    </w:rPr>
  </w:style>
  <w:style w:type="paragraph" w:customStyle="1" w:styleId="TableListNumber">
    <w:name w:val="Table List Number"/>
    <w:basedOn w:val="ListNumber"/>
    <w:rsid w:val="006A4D95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6A4D95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6A4D95"/>
    <w:pPr>
      <w:numPr>
        <w:numId w:val="9"/>
      </w:numPr>
    </w:pPr>
  </w:style>
  <w:style w:type="paragraph" w:customStyle="1" w:styleId="ListAlpha2">
    <w:name w:val="List Alpha 2"/>
    <w:basedOn w:val="List2"/>
    <w:rsid w:val="006A4D95"/>
    <w:pPr>
      <w:numPr>
        <w:numId w:val="8"/>
      </w:numPr>
    </w:pPr>
  </w:style>
  <w:style w:type="paragraph" w:styleId="List2">
    <w:name w:val="List 2"/>
    <w:basedOn w:val="BodyText"/>
    <w:rsid w:val="006A4D95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6A4D95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6A4D95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6A4D95"/>
    <w:pPr>
      <w:tabs>
        <w:tab w:val="left" w:pos="1701"/>
      </w:tabs>
      <w:spacing w:before="60" w:after="60"/>
      <w:ind w:left="1701" w:hanging="340"/>
    </w:pPr>
  </w:style>
  <w:style w:type="paragraph" w:styleId="ListBullet4">
    <w:name w:val="List Bullet 4"/>
    <w:basedOn w:val="List4"/>
    <w:rsid w:val="006A4D95"/>
    <w:pPr>
      <w:numPr>
        <w:numId w:val="3"/>
      </w:numPr>
    </w:pPr>
  </w:style>
  <w:style w:type="paragraph" w:styleId="ListBullet5">
    <w:name w:val="List Bullet 5"/>
    <w:basedOn w:val="List5"/>
    <w:rsid w:val="006A4D95"/>
    <w:pPr>
      <w:numPr>
        <w:numId w:val="4"/>
      </w:numPr>
    </w:pPr>
  </w:style>
  <w:style w:type="paragraph" w:styleId="ListContinue2">
    <w:name w:val="List Continue 2"/>
    <w:basedOn w:val="List2"/>
    <w:rsid w:val="006A4D95"/>
    <w:pPr>
      <w:ind w:firstLine="0"/>
    </w:pPr>
  </w:style>
  <w:style w:type="paragraph" w:styleId="ListContinue3">
    <w:name w:val="List Continue 3"/>
    <w:basedOn w:val="List3"/>
    <w:rsid w:val="006A4D95"/>
    <w:pPr>
      <w:ind w:left="1021" w:firstLine="0"/>
    </w:pPr>
  </w:style>
  <w:style w:type="paragraph" w:styleId="ListContinue4">
    <w:name w:val="List Continue 4"/>
    <w:basedOn w:val="List4"/>
    <w:rsid w:val="006A4D95"/>
    <w:pPr>
      <w:ind w:firstLine="0"/>
    </w:pPr>
  </w:style>
  <w:style w:type="paragraph" w:styleId="ListContinue5">
    <w:name w:val="List Continue 5"/>
    <w:basedOn w:val="List5"/>
    <w:rsid w:val="006A4D95"/>
    <w:pPr>
      <w:ind w:firstLine="0"/>
    </w:pPr>
  </w:style>
  <w:style w:type="paragraph" w:styleId="ListNumber3">
    <w:name w:val="List Number 3"/>
    <w:basedOn w:val="List3"/>
    <w:rsid w:val="006A4D95"/>
    <w:pPr>
      <w:numPr>
        <w:numId w:val="5"/>
      </w:numPr>
    </w:pPr>
  </w:style>
  <w:style w:type="paragraph" w:styleId="ListNumber4">
    <w:name w:val="List Number 4"/>
    <w:basedOn w:val="List4"/>
    <w:rsid w:val="006A4D95"/>
    <w:pPr>
      <w:numPr>
        <w:numId w:val="6"/>
      </w:numPr>
    </w:pPr>
  </w:style>
  <w:style w:type="paragraph" w:styleId="ListNumber5">
    <w:name w:val="List Number 5"/>
    <w:basedOn w:val="List5"/>
    <w:rsid w:val="006A4D95"/>
    <w:pPr>
      <w:numPr>
        <w:numId w:val="7"/>
      </w:numPr>
    </w:pPr>
  </w:style>
  <w:style w:type="paragraph" w:styleId="BlockText">
    <w:name w:val="Block Text"/>
    <w:basedOn w:val="Normal"/>
    <w:rsid w:val="006A4D95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6A4D95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6A4D95"/>
    <w:rPr>
      <w:sz w:val="16"/>
      <w:vertAlign w:val="superscript"/>
    </w:rPr>
  </w:style>
  <w:style w:type="character" w:customStyle="1" w:styleId="Symbols">
    <w:name w:val="Symbols"/>
    <w:basedOn w:val="DefaultParagraphFont"/>
    <w:rsid w:val="006A4D95"/>
    <w:rPr>
      <w:rFonts w:ascii="Symbol" w:hAnsi="Symbol"/>
    </w:rPr>
  </w:style>
  <w:style w:type="character" w:customStyle="1" w:styleId="MenuOptions">
    <w:name w:val="Menu Options"/>
    <w:basedOn w:val="DefaultParagraphFont"/>
    <w:rsid w:val="006A4D95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6A4D95"/>
    <w:rPr>
      <w:b/>
    </w:rPr>
  </w:style>
  <w:style w:type="character" w:customStyle="1" w:styleId="Underlined">
    <w:name w:val="Underlined"/>
    <w:basedOn w:val="DefaultParagraphFont"/>
    <w:rsid w:val="006A4D95"/>
    <w:rPr>
      <w:u w:val="single"/>
    </w:rPr>
  </w:style>
  <w:style w:type="paragraph" w:customStyle="1" w:styleId="TableBodyTextRight">
    <w:name w:val="Table Body Text Right"/>
    <w:basedOn w:val="TableBodyText"/>
    <w:rsid w:val="006A4D95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6A4D95"/>
    <w:rPr>
      <w:sz w:val="18"/>
    </w:rPr>
  </w:style>
  <w:style w:type="paragraph" w:customStyle="1" w:styleId="BodySmallRight">
    <w:name w:val="Body Small Right"/>
    <w:basedOn w:val="BodyTextRight"/>
    <w:rsid w:val="006A4D95"/>
    <w:rPr>
      <w:sz w:val="18"/>
      <w:szCs w:val="18"/>
    </w:rPr>
  </w:style>
  <w:style w:type="paragraph" w:customStyle="1" w:styleId="MarginEdition">
    <w:name w:val="Margin Edition"/>
    <w:basedOn w:val="MarginNote"/>
    <w:rsid w:val="006A4D95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6A4D95"/>
    <w:rPr>
      <w:sz w:val="2"/>
      <w:szCs w:val="2"/>
    </w:rPr>
  </w:style>
  <w:style w:type="character" w:customStyle="1" w:styleId="Small">
    <w:name w:val="Small"/>
    <w:basedOn w:val="DefaultParagraphFont"/>
    <w:rsid w:val="006A4D95"/>
    <w:rPr>
      <w:sz w:val="16"/>
    </w:rPr>
  </w:style>
  <w:style w:type="paragraph" w:customStyle="1" w:styleId="WideTable">
    <w:name w:val="Wide Table"/>
    <w:basedOn w:val="Normal"/>
    <w:rsid w:val="006A4D95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6A4D95"/>
  </w:style>
  <w:style w:type="paragraph" w:styleId="Quote">
    <w:name w:val="Quote"/>
    <w:basedOn w:val="Heading1"/>
    <w:link w:val="QuoteChar"/>
    <w:qFormat/>
    <w:rsid w:val="006A4D95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6A4D95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6A4D95"/>
    <w:pPr>
      <w:pageBreakBefore/>
    </w:pPr>
  </w:style>
  <w:style w:type="paragraph" w:customStyle="1" w:styleId="Border">
    <w:name w:val="Border"/>
    <w:basedOn w:val="Normal"/>
    <w:qFormat/>
    <w:rsid w:val="006A4D95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6A4D9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D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D95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6A4D95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6A4D95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6A4D95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6A4D95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6A4D95"/>
    <w:pPr>
      <w:spacing w:before="240" w:after="60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rsid w:val="006A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D95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6A4D95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6A4D95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6A4D95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6A4D95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7681</Characters>
  <Application>Microsoft Office Word</Application>
  <DocSecurity>0</DocSecurity>
  <Lines>254</Lines>
  <Paragraphs>158</Paragraphs>
  <ScaleCrop>false</ScaleCrop>
  <Company>Author-it Software Corporation Ltd.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PSPREG409B Prepare a brief of evidence</dc:title>
  <dc:subject>Approved</dc:subject>
  <dc:creator>Government Skills Australia</dc:creator>
  <cp:keywords>Revision Number: 3</cp:keywords>
  <dc:description>Copyright © 1996-2007 Author-it Software Corporation Ltd., all rights reserved.</dc:description>
  <cp:lastModifiedBy>TPCMS</cp:lastModifiedBy>
  <cp:revision>3</cp:revision>
  <dcterms:created xsi:type="dcterms:W3CDTF">2012-11-01T18:32:00Z</dcterms:created>
  <dcterms:modified xsi:type="dcterms:W3CDTF">2012-11-01T18:32:00Z</dcterms:modified>
</cp:coreProperties>
</file>