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30F1" w:rsidRDefault="004830F1" w:rsidP="004830F1">
      <w:pPr>
        <w:pStyle w:val="Title"/>
      </w:pPr>
      <w:r>
        <w:fldChar w:fldCharType="begin"/>
      </w:r>
      <w:r>
        <w:instrText xml:space="preserve"> TITLE   \* MERGEFORMAT </w:instrText>
      </w:r>
      <w:r>
        <w:fldChar w:fldCharType="separate"/>
      </w:r>
      <w:r>
        <w:t>PSPHR616A Manage performance management system</w:t>
      </w:r>
      <w:r>
        <w:fldChar w:fldCharType="end"/>
      </w:r>
    </w:p>
    <w:p w:rsidR="004830F1" w:rsidRDefault="004830F1" w:rsidP="004830F1">
      <w:pPr>
        <w:pStyle w:val="Version"/>
        <w:sectPr w:rsidR="004830F1" w:rsidSect="00F4461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8" w:h="16833"/>
          <w:pgMar w:top="1700" w:right="1418" w:bottom="1700" w:left="1418" w:header="992" w:footer="992" w:gutter="0"/>
          <w:cols w:space="720"/>
          <w:noEndnote/>
          <w:docGrid w:linePitch="299"/>
        </w:sectPr>
      </w:pPr>
      <w:fldSimple w:instr=" DOCPROPERTY  Keywords  \* MERGEFORMAT ">
        <w:r>
          <w:t>Revision Number: 3</w:t>
        </w:r>
      </w:fldSimple>
    </w:p>
    <w:p w:rsidR="00000000" w:rsidRPr="00F4461A" w:rsidRDefault="004830F1" w:rsidP="00F4461A">
      <w:pPr>
        <w:pStyle w:val="SuperHeading"/>
      </w:pPr>
      <w:r w:rsidRPr="00F4461A">
        <w:lastRenderedPageBreak/>
        <w:t>PSPHR616A Manage performance management system</w:t>
      </w:r>
    </w:p>
    <w:p w:rsidR="00000000" w:rsidRPr="00F4461A" w:rsidRDefault="004830F1" w:rsidP="00F4461A">
      <w:pPr>
        <w:pStyle w:val="SuperHeading"/>
      </w:pPr>
    </w:p>
    <w:p w:rsidR="00000000" w:rsidRPr="00F4461A" w:rsidRDefault="004830F1" w:rsidP="00F4461A">
      <w:pPr>
        <w:pStyle w:val="Heading1"/>
      </w:pPr>
      <w:bookmarkStart w:id="1" w:name="O_496116"/>
      <w:bookmarkEnd w:id="1"/>
      <w:r w:rsidRPr="00F4461A">
        <w:t>Modification History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52"/>
        <w:gridCol w:w="3052"/>
        <w:gridCol w:w="3052"/>
      </w:tblGrid>
      <w:tr w:rsidR="00000000" w:rsidTr="004830F1"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F4461A" w:rsidRDefault="004830F1" w:rsidP="00F4461A">
            <w:pPr>
              <w:pStyle w:val="BodyText"/>
            </w:pPr>
            <w:r w:rsidRPr="00F4461A">
              <w:rPr>
                <w:rStyle w:val="SpecialBold"/>
              </w:rPr>
              <w:t>Release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F4461A" w:rsidRDefault="004830F1" w:rsidP="00F4461A">
            <w:pPr>
              <w:pStyle w:val="BodyText"/>
            </w:pPr>
            <w:r w:rsidRPr="00F4461A">
              <w:rPr>
                <w:rStyle w:val="SpecialBold"/>
              </w:rPr>
              <w:t>TP Version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4830F1" w:rsidP="00F4461A">
            <w:pPr>
              <w:pStyle w:val="BodyText"/>
              <w:rPr>
                <w:lang w:val="en-NZ"/>
              </w:rPr>
            </w:pPr>
            <w:r w:rsidRPr="00F4461A">
              <w:rPr>
                <w:rStyle w:val="SpecialBold"/>
              </w:rPr>
              <w:t>Comments</w:t>
            </w:r>
          </w:p>
        </w:tc>
      </w:tr>
      <w:tr w:rsidR="00000000" w:rsidTr="004830F1"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4830F1" w:rsidP="00F4461A">
            <w:pPr>
              <w:pStyle w:val="BodyText"/>
              <w:rPr>
                <w:lang w:val="en-NZ"/>
              </w:rPr>
            </w:pPr>
            <w:r w:rsidRPr="00F4461A">
              <w:t>3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4830F1" w:rsidP="00F4461A">
            <w:pPr>
              <w:pStyle w:val="BodyText"/>
              <w:rPr>
                <w:lang w:val="en-NZ"/>
              </w:rPr>
            </w:pPr>
            <w:r w:rsidRPr="00F4461A">
              <w:t>PSP12V1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4830F1" w:rsidP="00F4461A">
            <w:pPr>
              <w:pStyle w:val="BodyText"/>
              <w:rPr>
                <w:lang w:val="en-NZ"/>
              </w:rPr>
            </w:pPr>
            <w:r w:rsidRPr="00F4461A">
              <w:t>Unit descriptor edited.</w:t>
            </w:r>
          </w:p>
        </w:tc>
      </w:tr>
      <w:tr w:rsidR="00000000" w:rsidTr="004830F1"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4830F1" w:rsidP="00F4461A">
            <w:pPr>
              <w:pStyle w:val="BodyText"/>
              <w:rPr>
                <w:lang w:val="en-NZ"/>
              </w:rPr>
            </w:pPr>
            <w:r w:rsidRPr="00F4461A">
              <w:t>2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4830F1" w:rsidP="00F4461A">
            <w:pPr>
              <w:pStyle w:val="BodyText"/>
              <w:rPr>
                <w:lang w:val="en-NZ"/>
              </w:rPr>
            </w:pPr>
            <w:r w:rsidRPr="00F4461A">
              <w:t>PSP04V4.2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4830F1" w:rsidP="00F4461A">
            <w:pPr>
              <w:pStyle w:val="BodyText"/>
              <w:rPr>
                <w:lang w:val="en-NZ"/>
              </w:rPr>
            </w:pPr>
            <w:r w:rsidRPr="00F4461A">
              <w:t>Layout adjusted. No changes to content.</w:t>
            </w:r>
          </w:p>
        </w:tc>
      </w:tr>
      <w:tr w:rsidR="00000000" w:rsidRPr="00F4461A" w:rsidTr="004830F1"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4830F1" w:rsidP="00F4461A">
            <w:pPr>
              <w:pStyle w:val="BodyText"/>
              <w:rPr>
                <w:lang w:val="en-NZ"/>
              </w:rPr>
            </w:pPr>
            <w:r w:rsidRPr="00F4461A">
              <w:t>1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4830F1" w:rsidP="00F4461A">
            <w:pPr>
              <w:pStyle w:val="BodyText"/>
              <w:rPr>
                <w:lang w:val="en-NZ"/>
              </w:rPr>
            </w:pPr>
            <w:r w:rsidRPr="00F4461A">
              <w:t>PSP04V4.1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F4461A" w:rsidRDefault="004830F1" w:rsidP="00F4461A">
            <w:pPr>
              <w:pStyle w:val="BodyText"/>
            </w:pPr>
            <w:r w:rsidRPr="00F4461A">
              <w:t>Primary release.</w:t>
            </w:r>
          </w:p>
        </w:tc>
      </w:tr>
    </w:tbl>
    <w:p w:rsidR="004830F1" w:rsidRDefault="004830F1" w:rsidP="00F4461A">
      <w:pPr>
        <w:pStyle w:val="BodyText"/>
      </w:pPr>
    </w:p>
    <w:p w:rsidR="004830F1" w:rsidRDefault="004830F1" w:rsidP="00F4461A">
      <w:pPr>
        <w:pStyle w:val="BodyText"/>
      </w:pPr>
    </w:p>
    <w:p w:rsidR="00000000" w:rsidRPr="00F4461A" w:rsidRDefault="004830F1" w:rsidP="00F4461A">
      <w:pPr>
        <w:pStyle w:val="Heading1"/>
      </w:pPr>
      <w:bookmarkStart w:id="2" w:name="O_496113"/>
      <w:bookmarkEnd w:id="2"/>
      <w:r w:rsidRPr="00F4461A">
        <w:t>Unit Descriptor</w:t>
      </w:r>
    </w:p>
    <w:p w:rsidR="00000000" w:rsidRPr="00F4461A" w:rsidRDefault="004830F1" w:rsidP="00F4461A">
      <w:pPr>
        <w:pStyle w:val="BodyText"/>
      </w:pPr>
      <w:r w:rsidRPr="00F4461A">
        <w:t>This unit covers the management of an organisation's performance management system to review and enhance employee performance. It includes develo</w:t>
      </w:r>
      <w:r w:rsidRPr="00F4461A">
        <w:t>ping a new or existing performance management framework, developing performance management processes, and managing the implementation of these processes.</w:t>
      </w:r>
    </w:p>
    <w:p w:rsidR="00000000" w:rsidRPr="00F4461A" w:rsidRDefault="004830F1" w:rsidP="00F4461A">
      <w:pPr>
        <w:pStyle w:val="BodyText"/>
      </w:pPr>
      <w:r w:rsidRPr="00F4461A">
        <w:t>In practice, managing a performance management system overlaps with other generalist and specialist wo</w:t>
      </w:r>
      <w:r w:rsidRPr="00F4461A">
        <w:t>rkplace activities such as managing diversity, managing policy implementation, facilitating workforce effectiveness, managing human resource development.</w:t>
      </w:r>
    </w:p>
    <w:p w:rsidR="004830F1" w:rsidRDefault="004830F1" w:rsidP="00F4461A">
      <w:pPr>
        <w:pStyle w:val="BodyText"/>
      </w:pPr>
      <w:r w:rsidRPr="00F4461A">
        <w:t xml:space="preserve">No licensing, legislative, regulatory or certification requirements apply to this unit at the time of </w:t>
      </w:r>
      <w:r w:rsidRPr="00F4461A">
        <w:t>publication</w:t>
      </w:r>
    </w:p>
    <w:p w:rsidR="004830F1" w:rsidRDefault="004830F1" w:rsidP="00F4461A">
      <w:pPr>
        <w:pStyle w:val="BodyText"/>
      </w:pPr>
    </w:p>
    <w:p w:rsidR="00000000" w:rsidRPr="00F4461A" w:rsidRDefault="004830F1" w:rsidP="00F4461A">
      <w:pPr>
        <w:pStyle w:val="Heading1"/>
      </w:pPr>
      <w:bookmarkStart w:id="3" w:name="O_496123"/>
      <w:bookmarkEnd w:id="3"/>
      <w:r w:rsidRPr="00F4461A">
        <w:t>Application of the Unit</w:t>
      </w:r>
    </w:p>
    <w:p w:rsidR="00000000" w:rsidRPr="00F4461A" w:rsidRDefault="004830F1" w:rsidP="00F4461A">
      <w:pPr>
        <w:pStyle w:val="BodyText"/>
      </w:pPr>
      <w:r w:rsidRPr="00F4461A">
        <w:t>Not applicable.</w:t>
      </w:r>
    </w:p>
    <w:p w:rsidR="00000000" w:rsidRPr="00F4461A" w:rsidRDefault="004830F1" w:rsidP="00F4461A">
      <w:pPr>
        <w:pStyle w:val="AllowPageBreak"/>
      </w:pPr>
    </w:p>
    <w:p w:rsidR="00000000" w:rsidRPr="00F4461A" w:rsidRDefault="004830F1" w:rsidP="00F4461A">
      <w:pPr>
        <w:pStyle w:val="Heading1"/>
      </w:pPr>
      <w:bookmarkStart w:id="4" w:name="O_496114"/>
      <w:bookmarkEnd w:id="4"/>
      <w:r w:rsidRPr="00F4461A">
        <w:t>Licensing/Regulatory Information</w:t>
      </w:r>
    </w:p>
    <w:p w:rsidR="00000000" w:rsidRPr="00F4461A" w:rsidRDefault="004830F1" w:rsidP="00F4461A">
      <w:pPr>
        <w:pStyle w:val="BodyText"/>
      </w:pPr>
      <w:r w:rsidRPr="00F4461A">
        <w:t>Not applicable.</w:t>
      </w:r>
    </w:p>
    <w:p w:rsidR="00000000" w:rsidRPr="00F4461A" w:rsidRDefault="004830F1" w:rsidP="00F4461A">
      <w:pPr>
        <w:pStyle w:val="AllowPageBreak"/>
      </w:pPr>
    </w:p>
    <w:p w:rsidR="00000000" w:rsidRPr="00F4461A" w:rsidRDefault="004830F1" w:rsidP="00F4461A">
      <w:pPr>
        <w:pStyle w:val="Heading1"/>
      </w:pPr>
      <w:bookmarkStart w:id="5" w:name="O_496117"/>
      <w:bookmarkEnd w:id="5"/>
      <w:r w:rsidRPr="00F4461A">
        <w:t>Pre-Requisites</w:t>
      </w:r>
    </w:p>
    <w:p w:rsidR="00000000" w:rsidRPr="00F4461A" w:rsidRDefault="004830F1" w:rsidP="00F4461A">
      <w:pPr>
        <w:pStyle w:val="BodyText"/>
      </w:pPr>
      <w:r w:rsidRPr="00F4461A">
        <w:t>Not applicable.</w:t>
      </w:r>
    </w:p>
    <w:p w:rsidR="00000000" w:rsidRPr="00F4461A" w:rsidRDefault="004830F1" w:rsidP="00F4461A">
      <w:pPr>
        <w:pStyle w:val="AllowPageBreak"/>
      </w:pPr>
    </w:p>
    <w:p w:rsidR="00000000" w:rsidRPr="00F4461A" w:rsidRDefault="004830F1" w:rsidP="00F4461A">
      <w:pPr>
        <w:pStyle w:val="Heading1"/>
      </w:pPr>
      <w:bookmarkStart w:id="6" w:name="O_496119"/>
      <w:bookmarkEnd w:id="6"/>
      <w:r w:rsidRPr="00F4461A">
        <w:lastRenderedPageBreak/>
        <w:t>Employability Skills Information</w:t>
      </w:r>
    </w:p>
    <w:p w:rsidR="00000000" w:rsidRPr="00F4461A" w:rsidRDefault="004830F1" w:rsidP="00F4461A">
      <w:pPr>
        <w:pStyle w:val="BodyText"/>
      </w:pPr>
      <w:r w:rsidRPr="00F4461A">
        <w:t>This unit contains employability skills.</w:t>
      </w:r>
    </w:p>
    <w:p w:rsidR="00000000" w:rsidRPr="00F4461A" w:rsidRDefault="004830F1" w:rsidP="00F4461A">
      <w:pPr>
        <w:pStyle w:val="AllowPageBreak"/>
      </w:pPr>
    </w:p>
    <w:p w:rsidR="00000000" w:rsidRPr="00F4461A" w:rsidRDefault="004830F1" w:rsidP="00F4461A">
      <w:pPr>
        <w:pStyle w:val="Heading1"/>
      </w:pPr>
      <w:bookmarkStart w:id="7" w:name="O_496120"/>
      <w:bookmarkEnd w:id="7"/>
      <w:r w:rsidRPr="00F4461A">
        <w:t>Elements and Performance Criteria Pre-Content</w:t>
      </w:r>
    </w:p>
    <w:tbl>
      <w:tblPr>
        <w:tblW w:w="93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60"/>
        <w:gridCol w:w="6662"/>
      </w:tblGrid>
      <w:tr w:rsidR="00000000" w:rsidRPr="00F4461A" w:rsidTr="004830F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4830F1" w:rsidP="00F4461A">
            <w:pPr>
              <w:pStyle w:val="BodyText"/>
              <w:rPr>
                <w:lang w:val="en-NZ"/>
              </w:rPr>
            </w:pPr>
            <w:r w:rsidRPr="00F4461A">
              <w:t>Elements are the essential outcomes of the unit of competency.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F4461A" w:rsidRDefault="004830F1" w:rsidP="00F4461A">
            <w:pPr>
              <w:pStyle w:val="BodyText"/>
            </w:pPr>
            <w:r w:rsidRPr="00F4461A">
              <w:t>Together, performance criteria specify the requirements for competent performance. Text i</w:t>
            </w:r>
            <w:r w:rsidRPr="00F4461A">
              <w:t xml:space="preserve">n </w:t>
            </w:r>
            <w:r w:rsidRPr="00F4461A">
              <w:rPr>
                <w:rStyle w:val="BoldandItalics"/>
              </w:rPr>
              <w:t>bold italics</w:t>
            </w:r>
            <w:r w:rsidRPr="00F4461A">
              <w:t xml:space="preserve"> is explained in the Range Statement following.</w:t>
            </w:r>
          </w:p>
        </w:tc>
      </w:tr>
    </w:tbl>
    <w:p w:rsidR="00000000" w:rsidRPr="00F4461A" w:rsidRDefault="004830F1" w:rsidP="00F4461A">
      <w:pPr>
        <w:pStyle w:val="BodyText"/>
      </w:pPr>
    </w:p>
    <w:p w:rsidR="00000000" w:rsidRPr="00F4461A" w:rsidRDefault="004830F1" w:rsidP="00F4461A">
      <w:pPr>
        <w:pStyle w:val="AllowPageBreak"/>
      </w:pPr>
    </w:p>
    <w:p w:rsidR="00000000" w:rsidRPr="00F4461A" w:rsidRDefault="004830F1" w:rsidP="00F4461A">
      <w:pPr>
        <w:pStyle w:val="Heading1"/>
      </w:pPr>
      <w:bookmarkStart w:id="8" w:name="O_496121"/>
      <w:bookmarkEnd w:id="8"/>
      <w:r w:rsidRPr="00F4461A">
        <w:lastRenderedPageBreak/>
        <w:t>Elements and Performance Criteria</w:t>
      </w:r>
    </w:p>
    <w:tbl>
      <w:tblPr>
        <w:tblW w:w="93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60"/>
        <w:gridCol w:w="6662"/>
      </w:tblGrid>
      <w:tr w:rsidR="00000000" w:rsidRPr="00F4461A" w:rsidTr="004830F1">
        <w:trPr>
          <w:tblHeader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F4461A" w:rsidRDefault="004830F1" w:rsidP="00F4461A">
            <w:pPr>
              <w:pStyle w:val="BodyText"/>
            </w:pPr>
            <w:r w:rsidRPr="00F4461A">
              <w:rPr>
                <w:rStyle w:val="SpecialBold"/>
              </w:rPr>
              <w:t>ELEMENT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4830F1" w:rsidP="00F4461A">
            <w:pPr>
              <w:pStyle w:val="BodyText"/>
              <w:rPr>
                <w:lang w:val="en-NZ"/>
              </w:rPr>
            </w:pPr>
            <w:r w:rsidRPr="00F4461A">
              <w:rPr>
                <w:rStyle w:val="SpecialBold"/>
              </w:rPr>
              <w:t>PERFORMANCE CRITERIA</w:t>
            </w:r>
          </w:p>
        </w:tc>
      </w:tr>
      <w:tr w:rsidR="00000000" w:rsidRPr="00F4461A" w:rsidTr="004830F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4830F1" w:rsidP="00F4461A">
            <w:pPr>
              <w:pStyle w:val="List"/>
              <w:rPr>
                <w:lang w:val="en-NZ"/>
              </w:rPr>
            </w:pPr>
            <w:r w:rsidRPr="00F4461A">
              <w:rPr>
                <w:rStyle w:val="SpecialBold"/>
              </w:rPr>
              <w:t>1</w:t>
            </w:r>
            <w:r w:rsidRPr="00F4461A">
              <w:t xml:space="preserve">.  </w:t>
            </w:r>
            <w:r w:rsidRPr="00F4461A">
              <w:tab/>
            </w:r>
            <w:r w:rsidRPr="00F4461A">
              <w:rPr>
                <w:rStyle w:val="SpecialBold"/>
              </w:rPr>
              <w:t>Develop performance management framework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F4461A" w:rsidRDefault="004830F1" w:rsidP="00F4461A">
            <w:pPr>
              <w:pStyle w:val="List"/>
            </w:pPr>
            <w:r w:rsidRPr="00F4461A">
              <w:t>1.1</w:t>
            </w:r>
            <w:r w:rsidRPr="00F4461A">
              <w:tab/>
            </w:r>
            <w:r w:rsidRPr="00F4461A">
              <w:t xml:space="preserve">Goals, objectives and required outcomes for the organisation's performance management framework are determined/confirmed in consultation with key </w:t>
            </w:r>
            <w:r w:rsidRPr="00F4461A">
              <w:rPr>
                <w:rStyle w:val="BoldandItalics"/>
              </w:rPr>
              <w:t xml:space="preserve">stakeholders </w:t>
            </w:r>
            <w:r w:rsidRPr="00F4461A">
              <w:t>to improve the work effectiveness of the organisation.</w:t>
            </w:r>
          </w:p>
          <w:p w:rsidR="00000000" w:rsidRPr="00F4461A" w:rsidRDefault="004830F1" w:rsidP="00F4461A">
            <w:pPr>
              <w:pStyle w:val="List"/>
            </w:pPr>
            <w:r w:rsidRPr="00F4461A">
              <w:t>1.2</w:t>
            </w:r>
            <w:r w:rsidRPr="00F4461A">
              <w:tab/>
              <w:t>The performance management framework i</w:t>
            </w:r>
            <w:r w:rsidRPr="00F4461A">
              <w:t>s established/developed through consideration of existing good practice models and is integrated with other key human resource functions and areas.</w:t>
            </w:r>
          </w:p>
          <w:p w:rsidR="00000000" w:rsidRPr="00F4461A" w:rsidRDefault="004830F1" w:rsidP="00F4461A">
            <w:pPr>
              <w:pStyle w:val="List"/>
            </w:pPr>
            <w:r w:rsidRPr="00F4461A">
              <w:t>1.3</w:t>
            </w:r>
            <w:r w:rsidRPr="00F4461A">
              <w:tab/>
              <w:t>The framework is linked to the organisation's operating context and strategic direction and developed th</w:t>
            </w:r>
            <w:r w:rsidRPr="00F4461A">
              <w:t>rough consultation with key stakeholders.</w:t>
            </w:r>
          </w:p>
          <w:p w:rsidR="00000000" w:rsidRPr="00F4461A" w:rsidRDefault="004830F1" w:rsidP="00F4461A">
            <w:pPr>
              <w:pStyle w:val="List"/>
            </w:pPr>
            <w:r w:rsidRPr="00F4461A">
              <w:t>1.4</w:t>
            </w:r>
            <w:r w:rsidRPr="00F4461A">
              <w:tab/>
              <w:t xml:space="preserve">Key performance management </w:t>
            </w:r>
            <w:r w:rsidRPr="00F4461A">
              <w:rPr>
                <w:rStyle w:val="BoldandItalics"/>
              </w:rPr>
              <w:t xml:space="preserve">elements </w:t>
            </w:r>
            <w:r w:rsidRPr="00F4461A">
              <w:t>are included in the framework.</w:t>
            </w:r>
          </w:p>
          <w:p w:rsidR="00000000" w:rsidRDefault="004830F1" w:rsidP="00F4461A">
            <w:pPr>
              <w:pStyle w:val="List"/>
              <w:rPr>
                <w:lang w:val="en-NZ"/>
              </w:rPr>
            </w:pPr>
            <w:r w:rsidRPr="00F4461A">
              <w:t>1.5</w:t>
            </w:r>
            <w:r w:rsidRPr="00F4461A">
              <w:tab/>
              <w:t>The framework is developed based on the principles of natural justice, equity and fairness.</w:t>
            </w:r>
          </w:p>
        </w:tc>
      </w:tr>
      <w:tr w:rsidR="00000000" w:rsidRPr="00F4461A" w:rsidTr="004830F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4830F1" w:rsidP="00F4461A">
            <w:pPr>
              <w:pStyle w:val="List"/>
              <w:rPr>
                <w:lang w:val="en-NZ"/>
              </w:rPr>
            </w:pPr>
            <w:r w:rsidRPr="00F4461A">
              <w:rPr>
                <w:rStyle w:val="SpecialBold"/>
              </w:rPr>
              <w:t>2</w:t>
            </w:r>
            <w:r w:rsidRPr="00F4461A">
              <w:t xml:space="preserve">.  </w:t>
            </w:r>
            <w:r w:rsidRPr="00F4461A">
              <w:tab/>
            </w:r>
            <w:r w:rsidRPr="00F4461A">
              <w:rPr>
                <w:rStyle w:val="SpecialBold"/>
              </w:rPr>
              <w:t>Develop performance management processes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F4461A" w:rsidRDefault="004830F1" w:rsidP="00F4461A">
            <w:pPr>
              <w:pStyle w:val="List"/>
            </w:pPr>
            <w:r w:rsidRPr="00F4461A">
              <w:t>2.1</w:t>
            </w:r>
            <w:r w:rsidRPr="00F4461A">
              <w:rPr>
                <w:rStyle w:val="BoldandItalics"/>
              </w:rPr>
              <w:tab/>
              <w:t xml:space="preserve">Performance management processes </w:t>
            </w:r>
            <w:r w:rsidRPr="00F4461A">
              <w:t>are developed which utilise performance standards established and validated by key stakeholders.</w:t>
            </w:r>
          </w:p>
          <w:p w:rsidR="00000000" w:rsidRPr="00F4461A" w:rsidRDefault="004830F1" w:rsidP="00F4461A">
            <w:pPr>
              <w:pStyle w:val="List"/>
            </w:pPr>
            <w:r w:rsidRPr="00F4461A">
              <w:t>2.2</w:t>
            </w:r>
            <w:r w:rsidRPr="00F4461A">
              <w:tab/>
              <w:t>The processes are structured to provide for ongoing two-way communication between the performance manager, the employe</w:t>
            </w:r>
            <w:r w:rsidRPr="00F4461A">
              <w:t>e, key stakeholders and clients.</w:t>
            </w:r>
          </w:p>
          <w:p w:rsidR="00000000" w:rsidRPr="00F4461A" w:rsidRDefault="004830F1" w:rsidP="00F4461A">
            <w:pPr>
              <w:pStyle w:val="List"/>
            </w:pPr>
            <w:r w:rsidRPr="00F4461A">
              <w:t>2.3</w:t>
            </w:r>
            <w:r w:rsidRPr="00F4461A">
              <w:tab/>
              <w:t>Inclusive processes are developed to respond to the needs of the range of business units, position types and diverse employee working styles represented within the organisation.</w:t>
            </w:r>
          </w:p>
          <w:p w:rsidR="00000000" w:rsidRPr="00F4461A" w:rsidRDefault="004830F1" w:rsidP="00F4461A">
            <w:pPr>
              <w:pStyle w:val="List"/>
            </w:pPr>
            <w:r w:rsidRPr="00F4461A">
              <w:t>2.4</w:t>
            </w:r>
            <w:r w:rsidRPr="00F4461A">
              <w:tab/>
            </w:r>
            <w:r w:rsidRPr="00F4461A">
              <w:t>The processes are structured to be flexible enough to allow for changes in the organisation's operating context and strategic direction.</w:t>
            </w:r>
          </w:p>
          <w:p w:rsidR="00000000" w:rsidRPr="00F4461A" w:rsidRDefault="004830F1" w:rsidP="00F4461A">
            <w:pPr>
              <w:pStyle w:val="List"/>
            </w:pPr>
            <w:r w:rsidRPr="00F4461A">
              <w:t>2.5</w:t>
            </w:r>
            <w:r w:rsidRPr="00F4461A">
              <w:tab/>
              <w:t>Options for dealing with inappropriate, over- or under-performance are detailed in the processes.</w:t>
            </w:r>
          </w:p>
          <w:p w:rsidR="00000000" w:rsidRDefault="004830F1" w:rsidP="00F4461A">
            <w:pPr>
              <w:pStyle w:val="List"/>
              <w:rPr>
                <w:lang w:val="en-NZ"/>
              </w:rPr>
            </w:pPr>
            <w:r w:rsidRPr="00F4461A">
              <w:t>2.6</w:t>
            </w:r>
            <w:r w:rsidRPr="00F4461A">
              <w:tab/>
            </w:r>
            <w:r w:rsidRPr="00F4461A">
              <w:rPr>
                <w:rStyle w:val="BoldandItalics"/>
              </w:rPr>
              <w:t xml:space="preserve">Information </w:t>
            </w:r>
            <w:r w:rsidRPr="00F4461A">
              <w:t>a</w:t>
            </w:r>
            <w:r w:rsidRPr="00F4461A">
              <w:t>nd advice is provided to facilitate effective implementation and assessment of processes.</w:t>
            </w:r>
          </w:p>
        </w:tc>
      </w:tr>
      <w:tr w:rsidR="00000000" w:rsidRPr="00F4461A" w:rsidTr="004830F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4830F1" w:rsidP="00F4461A">
            <w:pPr>
              <w:pStyle w:val="List"/>
              <w:rPr>
                <w:lang w:val="en-NZ"/>
              </w:rPr>
            </w:pPr>
            <w:r w:rsidRPr="00F4461A">
              <w:rPr>
                <w:rStyle w:val="SpecialBold"/>
              </w:rPr>
              <w:t>3</w:t>
            </w:r>
            <w:r w:rsidRPr="00F4461A">
              <w:t xml:space="preserve">.  </w:t>
            </w:r>
            <w:r w:rsidRPr="00F4461A">
              <w:tab/>
            </w:r>
            <w:r w:rsidRPr="00F4461A">
              <w:rPr>
                <w:rStyle w:val="SpecialBold"/>
              </w:rPr>
              <w:t>Manage implementation of performance management processes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F4461A" w:rsidRDefault="004830F1" w:rsidP="00F4461A">
            <w:pPr>
              <w:pStyle w:val="List"/>
            </w:pPr>
            <w:r w:rsidRPr="00F4461A">
              <w:t>3.1</w:t>
            </w:r>
            <w:r w:rsidRPr="00F4461A">
              <w:tab/>
              <w:t>An implementation plan is agreed in consultation with key stakeholders.</w:t>
            </w:r>
          </w:p>
          <w:p w:rsidR="00000000" w:rsidRPr="00F4461A" w:rsidRDefault="004830F1" w:rsidP="00F4461A">
            <w:pPr>
              <w:pStyle w:val="List"/>
            </w:pPr>
            <w:r w:rsidRPr="00F4461A">
              <w:t>3.2</w:t>
            </w:r>
            <w:r w:rsidRPr="00F4461A">
              <w:tab/>
              <w:t>Systems are managed to</w:t>
            </w:r>
            <w:r w:rsidRPr="00F4461A">
              <w:t xml:space="preserve"> monitor the effectiveness of performance management processes in accordance with contractual obligations, </w:t>
            </w:r>
            <w:r w:rsidRPr="00F4461A">
              <w:rPr>
                <w:rStyle w:val="BoldandItalics"/>
              </w:rPr>
              <w:t>legislation</w:t>
            </w:r>
            <w:r w:rsidRPr="00F4461A">
              <w:t xml:space="preserve">, </w:t>
            </w:r>
            <w:r w:rsidRPr="00F4461A">
              <w:rPr>
                <w:rStyle w:val="BoldandItalics"/>
              </w:rPr>
              <w:t xml:space="preserve">organisational policy </w:t>
            </w:r>
            <w:r w:rsidRPr="00F4461A">
              <w:t>and needs, and in consultation with managers.</w:t>
            </w:r>
          </w:p>
          <w:p w:rsidR="00000000" w:rsidRPr="00F4461A" w:rsidRDefault="004830F1" w:rsidP="00F4461A">
            <w:pPr>
              <w:pStyle w:val="List"/>
            </w:pPr>
            <w:r w:rsidRPr="00F4461A">
              <w:t>3.3</w:t>
            </w:r>
            <w:r w:rsidRPr="00F4461A">
              <w:tab/>
            </w:r>
            <w:r w:rsidRPr="00F4461A">
              <w:rPr>
                <w:rStyle w:val="BoldandItalics"/>
              </w:rPr>
              <w:t xml:space="preserve">External and/or internal trends </w:t>
            </w:r>
            <w:r w:rsidRPr="00F4461A">
              <w:t>or events which have an effect o</w:t>
            </w:r>
            <w:r w:rsidRPr="00F4461A">
              <w:t>n the organisation's performance management processes are monitored and responses are formulated.</w:t>
            </w:r>
          </w:p>
          <w:p w:rsidR="00000000" w:rsidRPr="00F4461A" w:rsidRDefault="004830F1" w:rsidP="00F4461A">
            <w:pPr>
              <w:pStyle w:val="List"/>
            </w:pPr>
            <w:r w:rsidRPr="00F4461A">
              <w:t>3.4</w:t>
            </w:r>
            <w:r w:rsidRPr="00F4461A">
              <w:tab/>
              <w:t>Adjustments to processes are implemented as a result of monitoring and/or changed internal/external trends and/or events.</w:t>
            </w:r>
          </w:p>
          <w:p w:rsidR="00000000" w:rsidRPr="00F4461A" w:rsidRDefault="004830F1" w:rsidP="00F4461A">
            <w:pPr>
              <w:pStyle w:val="List"/>
            </w:pPr>
            <w:r w:rsidRPr="00F4461A">
              <w:t>3.5</w:t>
            </w:r>
            <w:r w:rsidRPr="00F4461A">
              <w:tab/>
              <w:t>Processes are monitored to g</w:t>
            </w:r>
            <w:r w:rsidRPr="00F4461A">
              <w:t>auge their effectiveness in providing support to staff involved in implementation.</w:t>
            </w:r>
          </w:p>
        </w:tc>
      </w:tr>
    </w:tbl>
    <w:p w:rsidR="00000000" w:rsidRPr="00F4461A" w:rsidRDefault="004830F1" w:rsidP="00F4461A">
      <w:pPr>
        <w:pStyle w:val="BodyText"/>
      </w:pPr>
    </w:p>
    <w:p w:rsidR="00000000" w:rsidRPr="00F4461A" w:rsidRDefault="004830F1" w:rsidP="00F4461A">
      <w:pPr>
        <w:pStyle w:val="AllowPageBreak"/>
      </w:pPr>
    </w:p>
    <w:p w:rsidR="00000000" w:rsidRPr="00F4461A" w:rsidRDefault="004830F1" w:rsidP="00F4461A">
      <w:pPr>
        <w:pStyle w:val="Heading1"/>
      </w:pPr>
      <w:bookmarkStart w:id="9" w:name="O_496110"/>
      <w:bookmarkEnd w:id="9"/>
      <w:r w:rsidRPr="00F4461A">
        <w:t>Required Skills and Knowledge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2"/>
        <w:gridCol w:w="41"/>
      </w:tblGrid>
      <w:tr w:rsidR="00000000" w:rsidRPr="00F4461A" w:rsidTr="004830F1">
        <w:trPr>
          <w:gridAfter w:val="1"/>
          <w:wAfter w:w="41" w:type="dxa"/>
        </w:trPr>
        <w:tc>
          <w:tcPr>
            <w:tcW w:w="85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4830F1" w:rsidP="00F4461A">
            <w:pPr>
              <w:pStyle w:val="BodyText"/>
              <w:rPr>
                <w:lang w:val="en-NZ"/>
              </w:rPr>
            </w:pPr>
            <w:r w:rsidRPr="00F4461A">
              <w:t>This section describes the essential skills and knowledge and their level, required for this unit.</w:t>
            </w:r>
          </w:p>
        </w:tc>
      </w:tr>
      <w:tr w:rsidR="00000000" w:rsidRPr="00F4461A" w:rsidTr="004830F1">
        <w:tc>
          <w:tcPr>
            <w:tcW w:w="85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F4461A" w:rsidRDefault="004830F1" w:rsidP="00F4461A">
            <w:pPr>
              <w:pStyle w:val="BodyText"/>
            </w:pPr>
            <w:r w:rsidRPr="00F4461A">
              <w:rPr>
                <w:rStyle w:val="SpecialBold"/>
              </w:rPr>
              <w:t>Skill requirements</w:t>
            </w:r>
          </w:p>
          <w:p w:rsidR="00000000" w:rsidRPr="00F4461A" w:rsidRDefault="004830F1" w:rsidP="00F4461A">
            <w:pPr>
              <w:pStyle w:val="BodyText"/>
            </w:pPr>
            <w:r w:rsidRPr="00F4461A">
              <w:t>Look for evidence that confirms skills in: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>engaging in effective consultation with stakeholders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 xml:space="preserve">training, coaching, mentoring and facilitation 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 xml:space="preserve">undertaking conflict resolution, negotiation and counselling 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 xml:space="preserve">using a variety of words and language structures </w:t>
            </w:r>
            <w:r w:rsidRPr="00F4461A">
              <w:t>to explain complex ideas to different audiences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>interpreting and explaining complex, formal documents and assisting others to apply them in the workplace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>preparing written advice and reports requiring reasoning and precision of expression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>responding to div</w:t>
            </w:r>
            <w:r w:rsidRPr="00F4461A">
              <w:t>ersity, including gender and disability</w:t>
            </w:r>
          </w:p>
          <w:p w:rsidR="00000000" w:rsidRDefault="004830F1" w:rsidP="00F4461A">
            <w:pPr>
              <w:pStyle w:val="ListBullet2"/>
              <w:rPr>
                <w:lang w:val="en-NZ"/>
              </w:rPr>
            </w:pPr>
            <w:r w:rsidRPr="00F4461A">
              <w:t>applying occupational health and safety procedures in the context of managing a performance management system</w:t>
            </w:r>
          </w:p>
        </w:tc>
      </w:tr>
      <w:tr w:rsidR="00000000" w:rsidRPr="00F4461A" w:rsidTr="004830F1">
        <w:tc>
          <w:tcPr>
            <w:tcW w:w="85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F4461A" w:rsidRDefault="004830F1" w:rsidP="00F4461A">
            <w:pPr>
              <w:pStyle w:val="BodyText"/>
            </w:pPr>
            <w:r w:rsidRPr="00F4461A">
              <w:rPr>
                <w:rStyle w:val="SpecialBold"/>
              </w:rPr>
              <w:t>Knowledge requirements</w:t>
            </w:r>
          </w:p>
          <w:p w:rsidR="00000000" w:rsidRPr="00F4461A" w:rsidRDefault="004830F1" w:rsidP="00F4461A">
            <w:pPr>
              <w:pStyle w:val="BodyText"/>
            </w:pPr>
            <w:r w:rsidRPr="00F4461A">
              <w:t>Look for evidence that confirms knowledge and understanding of: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>the performance management concept within an organisational context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>key components of performance management processes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>grievance procedures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>freedom of information, privacy, confidentiality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>development strategies to support performance management processes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>organisational goals, policies and procedures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>the concept of diversity and its integration within and across all human resource functions and areas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>equal employment opportunity, equity and diversity principles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>the relationships between human resource funct</w:t>
            </w:r>
            <w:r w:rsidRPr="00F4461A">
              <w:t>ions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>human resource policies and practices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>national and/or international models of good practice in performance management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>jurisdictional legislation applying to human resources, including occupational health and safety and environment</w:t>
            </w:r>
          </w:p>
        </w:tc>
      </w:tr>
    </w:tbl>
    <w:p w:rsidR="00000000" w:rsidRPr="00F4461A" w:rsidRDefault="004830F1" w:rsidP="00F4461A">
      <w:pPr>
        <w:pStyle w:val="BodyText"/>
      </w:pPr>
    </w:p>
    <w:p w:rsidR="00000000" w:rsidRPr="00F4461A" w:rsidRDefault="004830F1" w:rsidP="00F4461A">
      <w:pPr>
        <w:pStyle w:val="AllowPageBreak"/>
      </w:pPr>
    </w:p>
    <w:p w:rsidR="00000000" w:rsidRPr="00F4461A" w:rsidRDefault="004830F1" w:rsidP="00F4461A">
      <w:pPr>
        <w:pStyle w:val="Heading1"/>
      </w:pPr>
      <w:bookmarkStart w:id="10" w:name="O_496111"/>
      <w:bookmarkEnd w:id="10"/>
      <w:r w:rsidRPr="00F4461A">
        <w:t>Evidence Guide</w:t>
      </w:r>
    </w:p>
    <w:tbl>
      <w:tblPr>
        <w:tblW w:w="93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60"/>
        <w:gridCol w:w="6662"/>
      </w:tblGrid>
      <w:tr w:rsidR="00F4461A" w:rsidRPr="00F4461A" w:rsidTr="004830F1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4830F1" w:rsidP="00F4461A">
            <w:pPr>
              <w:pStyle w:val="BodyText"/>
              <w:rPr>
                <w:lang w:val="en-NZ"/>
              </w:rPr>
            </w:pPr>
            <w:r w:rsidRPr="00F4461A">
              <w:t>The Evidence Guide specifies the evidence required to demonstrate achievement in the unit of competency as a whole. It must be read in conjunction with the Unit descriptor, Performance Criteria, the Range Statement and the Assessment Guideli</w:t>
            </w:r>
            <w:r w:rsidRPr="00F4461A">
              <w:t>nes for the Public Sector Training Package.</w:t>
            </w:r>
          </w:p>
        </w:tc>
      </w:tr>
      <w:tr w:rsidR="00000000" w:rsidRPr="00F4461A" w:rsidTr="004830F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F4461A" w:rsidRDefault="004830F1" w:rsidP="00F4461A">
            <w:pPr>
              <w:pStyle w:val="BodyText"/>
            </w:pPr>
            <w:r w:rsidRPr="00F4461A">
              <w:rPr>
                <w:rStyle w:val="SpecialBold"/>
              </w:rPr>
              <w:t>Units to be assessed together</w:t>
            </w:r>
            <w:r w:rsidRPr="00F4461A"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F4461A" w:rsidRDefault="004830F1" w:rsidP="00F4461A">
            <w:pPr>
              <w:pStyle w:val="ListBullet2"/>
            </w:pPr>
            <w:r w:rsidRPr="00F4461A">
              <w:rPr>
                <w:rStyle w:val="Emphasis"/>
              </w:rPr>
              <w:t>Pre</w:t>
            </w:r>
            <w:r w:rsidRPr="00F4461A">
              <w:t>-</w:t>
            </w:r>
            <w:r w:rsidRPr="00F4461A">
              <w:rPr>
                <w:rStyle w:val="Emphasis"/>
              </w:rPr>
              <w:t>requisite</w:t>
            </w:r>
            <w:r w:rsidRPr="00F4461A">
              <w:t xml:space="preserve"> units that must be achieved prior to this unit:</w:t>
            </w:r>
            <w:r w:rsidRPr="00F4461A">
              <w:rPr>
                <w:rStyle w:val="Emphasis"/>
              </w:rPr>
              <w:t>Nil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rPr>
                <w:rStyle w:val="Emphasis"/>
              </w:rPr>
              <w:t>Co</w:t>
            </w:r>
            <w:r w:rsidRPr="00F4461A">
              <w:t>-</w:t>
            </w:r>
            <w:r w:rsidRPr="00F4461A">
              <w:rPr>
                <w:rStyle w:val="Emphasis"/>
              </w:rPr>
              <w:t>requisite</w:t>
            </w:r>
            <w:r w:rsidRPr="00F4461A">
              <w:t xml:space="preserve"> units that must be assessed with this unit:</w:t>
            </w:r>
            <w:r w:rsidRPr="00F4461A">
              <w:rPr>
                <w:rStyle w:val="Emphasis"/>
              </w:rPr>
              <w:t>Nil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rPr>
                <w:rStyle w:val="Emphasis"/>
              </w:rPr>
              <w:t>Co</w:t>
            </w:r>
            <w:r w:rsidRPr="00F4461A">
              <w:t>-</w:t>
            </w:r>
            <w:r w:rsidRPr="00F4461A">
              <w:rPr>
                <w:rStyle w:val="Emphasis"/>
              </w:rPr>
              <w:t>assessed units</w:t>
            </w:r>
            <w:r w:rsidRPr="00F4461A">
              <w:t xml:space="preserve"> that may be assessed with this unit to increase the efficiency and realism of the assessment process include, but are not limited to:</w:t>
            </w:r>
          </w:p>
          <w:p w:rsidR="00000000" w:rsidRPr="00F4461A" w:rsidRDefault="004830F1" w:rsidP="00F4461A">
            <w:pPr>
              <w:pStyle w:val="ListBullet3"/>
            </w:pPr>
            <w:r w:rsidRPr="00F4461A">
              <w:t>PSPETHC601B Maintain and enhance confidence in public service</w:t>
            </w:r>
          </w:p>
          <w:p w:rsidR="00000000" w:rsidRPr="00F4461A" w:rsidRDefault="004830F1" w:rsidP="00F4461A">
            <w:pPr>
              <w:pStyle w:val="ListBullet3"/>
            </w:pPr>
            <w:r w:rsidRPr="00F4461A">
              <w:t>PSPGOV601B Apply government systems</w:t>
            </w:r>
          </w:p>
          <w:p w:rsidR="00000000" w:rsidRPr="00F4461A" w:rsidRDefault="004830F1" w:rsidP="00F4461A">
            <w:pPr>
              <w:pStyle w:val="ListBullet3"/>
            </w:pPr>
            <w:r w:rsidRPr="00F4461A">
              <w:t>PSPGOV604A Foster leadership and innovation</w:t>
            </w:r>
          </w:p>
          <w:p w:rsidR="00000000" w:rsidRPr="00F4461A" w:rsidRDefault="004830F1" w:rsidP="00F4461A">
            <w:pPr>
              <w:pStyle w:val="ListBullet3"/>
            </w:pPr>
            <w:r w:rsidRPr="00F4461A">
              <w:t>PSPGOV605A Persuade and influence opinion</w:t>
            </w:r>
          </w:p>
          <w:p w:rsidR="00000000" w:rsidRPr="00F4461A" w:rsidRDefault="004830F1" w:rsidP="00F4461A">
            <w:pPr>
              <w:pStyle w:val="ListBullet3"/>
            </w:pPr>
            <w:r w:rsidRPr="00F4461A">
              <w:t>PSPHR603B Provide advisory and mediation services</w:t>
            </w:r>
          </w:p>
          <w:p w:rsidR="00000000" w:rsidRPr="00F4461A" w:rsidRDefault="004830F1" w:rsidP="00F4461A">
            <w:pPr>
              <w:pStyle w:val="ListBullet3"/>
            </w:pPr>
            <w:r w:rsidRPr="00F4461A">
              <w:t xml:space="preserve">PSPHR615A Manage human resource development strategies </w:t>
            </w:r>
          </w:p>
          <w:p w:rsidR="00000000" w:rsidRPr="00F4461A" w:rsidRDefault="004830F1" w:rsidP="00F4461A">
            <w:pPr>
              <w:pStyle w:val="ListBullet3"/>
            </w:pPr>
            <w:r w:rsidRPr="00F4461A">
              <w:t>PSPHR619A Manage remuneration strategies and plans</w:t>
            </w:r>
          </w:p>
          <w:p w:rsidR="00000000" w:rsidRPr="00F4461A" w:rsidRDefault="004830F1" w:rsidP="00F4461A">
            <w:pPr>
              <w:pStyle w:val="ListBullet3"/>
            </w:pPr>
            <w:r w:rsidRPr="00F4461A">
              <w:t>PSPLEGN601B M</w:t>
            </w:r>
            <w:r w:rsidRPr="00F4461A">
              <w:t>anage compliance with legislation in the public sector</w:t>
            </w:r>
          </w:p>
          <w:p w:rsidR="00000000" w:rsidRPr="00F4461A" w:rsidRDefault="004830F1" w:rsidP="00F4461A">
            <w:pPr>
              <w:pStyle w:val="ListBullet3"/>
            </w:pPr>
            <w:r w:rsidRPr="00F4461A">
              <w:t>PSPMNGT611A Manage evaluations</w:t>
            </w:r>
          </w:p>
          <w:p w:rsidR="00000000" w:rsidRDefault="004830F1" w:rsidP="00F4461A">
            <w:pPr>
              <w:pStyle w:val="ListBullet3"/>
              <w:rPr>
                <w:lang w:val="en-NZ"/>
              </w:rPr>
            </w:pPr>
            <w:r w:rsidRPr="00F4461A">
              <w:t>PSPMNGT615A Influence workforce effectiveness</w:t>
            </w:r>
          </w:p>
        </w:tc>
      </w:tr>
      <w:tr w:rsidR="00000000" w:rsidRPr="00F4461A" w:rsidTr="004830F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4830F1" w:rsidP="00F4461A">
            <w:pPr>
              <w:pStyle w:val="BodyText"/>
              <w:rPr>
                <w:lang w:val="en-NZ"/>
              </w:rPr>
            </w:pPr>
            <w:r w:rsidRPr="00F4461A">
              <w:rPr>
                <w:rStyle w:val="SpecialBold"/>
              </w:rPr>
              <w:t>Overview of evidence requirements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F4461A" w:rsidRDefault="004830F1" w:rsidP="00F4461A">
            <w:pPr>
              <w:pStyle w:val="BodyText"/>
            </w:pPr>
            <w:r w:rsidRPr="00F4461A">
              <w:t>In addition to integrated demonstration of the elements and their related performance cri</w:t>
            </w:r>
            <w:r w:rsidRPr="00F4461A">
              <w:t>teria, look for evidence that confirms: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 xml:space="preserve">the knowledge requirements of this unit 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>the skill requirements of this unit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>application of the Employability Skills as they relate to this unit (see Employability Summaries in Qualifications Framework)</w:t>
            </w:r>
          </w:p>
          <w:p w:rsidR="00000000" w:rsidRDefault="004830F1" w:rsidP="00F4461A">
            <w:pPr>
              <w:pStyle w:val="ListBullet2"/>
              <w:rPr>
                <w:lang w:val="en-NZ"/>
              </w:rPr>
            </w:pPr>
            <w:r w:rsidRPr="00F4461A">
              <w:t>performance management system managed in a range of (3 or more) contexts (or occasions, over time)</w:t>
            </w:r>
          </w:p>
        </w:tc>
      </w:tr>
      <w:tr w:rsidR="00000000" w:rsidRPr="00F4461A" w:rsidTr="004830F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4830F1" w:rsidP="00F4461A">
            <w:pPr>
              <w:pStyle w:val="BodyText"/>
              <w:rPr>
                <w:lang w:val="en-NZ"/>
              </w:rPr>
            </w:pPr>
            <w:r w:rsidRPr="00F4461A">
              <w:rPr>
                <w:rStyle w:val="SpecialBold"/>
              </w:rPr>
              <w:t>Resources required to carry out assessment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F4461A" w:rsidRDefault="004830F1" w:rsidP="00F4461A">
            <w:pPr>
              <w:pStyle w:val="BodyText"/>
            </w:pPr>
            <w:r w:rsidRPr="00F4461A">
              <w:t>These resources include: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>legislation, policies and procedures relating to performance management system developm</w:t>
            </w:r>
            <w:r w:rsidRPr="00F4461A">
              <w:t>ent and management in the public sector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>workplace scenarios and case studies to capture the range of situations likely to be encountered when managing a performance management system</w:t>
            </w:r>
          </w:p>
          <w:p w:rsidR="00000000" w:rsidRDefault="004830F1" w:rsidP="00F4461A">
            <w:pPr>
              <w:pStyle w:val="ListBullet2"/>
              <w:rPr>
                <w:lang w:val="en-NZ"/>
              </w:rPr>
            </w:pPr>
            <w:r w:rsidRPr="00F4461A">
              <w:t>performance management guidelines and other relevant workplace materials</w:t>
            </w:r>
          </w:p>
        </w:tc>
      </w:tr>
      <w:tr w:rsidR="00000000" w:rsidRPr="00F4461A" w:rsidTr="004830F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4830F1" w:rsidP="00F4461A">
            <w:pPr>
              <w:pStyle w:val="BodyText"/>
              <w:rPr>
                <w:lang w:val="en-NZ"/>
              </w:rPr>
            </w:pPr>
            <w:r w:rsidRPr="00F4461A">
              <w:rPr>
                <w:rStyle w:val="SpecialBold"/>
              </w:rPr>
              <w:lastRenderedPageBreak/>
              <w:t>Where and how to assess evidence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F4461A" w:rsidRDefault="004830F1" w:rsidP="00F4461A">
            <w:pPr>
              <w:pStyle w:val="BodyText"/>
            </w:pPr>
            <w:r w:rsidRPr="00F4461A">
              <w:t xml:space="preserve">Valid assessment of this unit requires: 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>a workplace environment or one that closely resembles normal work practice and replicates the range of conditions likely to be encountered when managing performance management proc</w:t>
            </w:r>
            <w:r w:rsidRPr="00F4461A">
              <w:t>esses, including coping with difficulties, irregularities and breakdowns in routine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>performance management system managed in a range of (3 or more) contexts (or occasions, over time)</w:t>
            </w:r>
          </w:p>
          <w:p w:rsidR="00000000" w:rsidRPr="00F4461A" w:rsidRDefault="004830F1" w:rsidP="00F4461A">
            <w:pPr>
              <w:pStyle w:val="BodyText"/>
            </w:pPr>
            <w:r w:rsidRPr="00F4461A">
              <w:t>Assessment methods should reflect workplace demands, such as literacy, and the needs of particular groups, such as: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>people with disabilities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>people from culturally and linguistically diverse backgrounds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>Aboriginal and Torres Strait Islander people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>women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>y</w:t>
            </w:r>
            <w:r w:rsidRPr="00F4461A">
              <w:t>oung people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>older people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>people in rural and remote locations</w:t>
            </w:r>
          </w:p>
          <w:p w:rsidR="00000000" w:rsidRPr="00F4461A" w:rsidRDefault="004830F1" w:rsidP="00F4461A">
            <w:pPr>
              <w:pStyle w:val="BodyText"/>
            </w:pPr>
            <w:r w:rsidRPr="00F4461A">
              <w:t xml:space="preserve">Assessment methods suitable for valid and reliable assessment of this competency may include, but are not limited to, a combination of 2 or more of: 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>case studies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 xml:space="preserve">portfolios 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>questioning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>scenar</w:t>
            </w:r>
            <w:r w:rsidRPr="00F4461A">
              <w:t>ios</w:t>
            </w:r>
          </w:p>
          <w:p w:rsidR="00000000" w:rsidRDefault="004830F1" w:rsidP="00F4461A">
            <w:pPr>
              <w:pStyle w:val="ListBullet2"/>
              <w:rPr>
                <w:lang w:val="en-NZ"/>
              </w:rPr>
            </w:pPr>
            <w:r w:rsidRPr="00F4461A">
              <w:t xml:space="preserve">authenticated evidence from the workplace and/or training courses  </w:t>
            </w:r>
          </w:p>
        </w:tc>
      </w:tr>
      <w:tr w:rsidR="00000000" w:rsidRPr="00F4461A" w:rsidTr="004830F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4830F1" w:rsidP="00F4461A">
            <w:pPr>
              <w:pStyle w:val="BodyText"/>
              <w:rPr>
                <w:lang w:val="en-NZ"/>
              </w:rPr>
            </w:pPr>
            <w:r w:rsidRPr="00F4461A">
              <w:rPr>
                <w:rStyle w:val="SpecialBold"/>
              </w:rPr>
              <w:t>For consistency of assessment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F4461A" w:rsidRDefault="004830F1" w:rsidP="00F4461A">
            <w:pPr>
              <w:pStyle w:val="BodyText"/>
            </w:pPr>
            <w:r w:rsidRPr="00F4461A">
              <w:t xml:space="preserve">Evidence must be gathered over time in a range of contexts to ensure the person can achieve the unit outcome and apply the competency in </w:t>
            </w:r>
            <w:r w:rsidRPr="00F4461A">
              <w:t>different situations or environments</w:t>
            </w:r>
          </w:p>
        </w:tc>
      </w:tr>
    </w:tbl>
    <w:p w:rsidR="00000000" w:rsidRPr="00F4461A" w:rsidRDefault="004830F1" w:rsidP="00F4461A">
      <w:pPr>
        <w:pStyle w:val="BodyText"/>
      </w:pPr>
    </w:p>
    <w:p w:rsidR="00000000" w:rsidRPr="00F4461A" w:rsidRDefault="004830F1" w:rsidP="00F4461A">
      <w:pPr>
        <w:pStyle w:val="AllowPageBreak"/>
      </w:pPr>
    </w:p>
    <w:p w:rsidR="00000000" w:rsidRPr="00F4461A" w:rsidRDefault="004830F1" w:rsidP="00F4461A">
      <w:pPr>
        <w:pStyle w:val="Heading1"/>
      </w:pPr>
      <w:bookmarkStart w:id="11" w:name="O_496115"/>
      <w:bookmarkEnd w:id="11"/>
      <w:r w:rsidRPr="00F4461A">
        <w:t>Range Statement</w:t>
      </w:r>
    </w:p>
    <w:tbl>
      <w:tblPr>
        <w:tblW w:w="93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60"/>
        <w:gridCol w:w="6662"/>
      </w:tblGrid>
      <w:tr w:rsidR="00F4461A" w:rsidTr="004830F1">
        <w:trPr>
          <w:tblHeader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4830F1" w:rsidP="00F4461A">
            <w:pPr>
              <w:pStyle w:val="BodyText"/>
              <w:rPr>
                <w:lang w:val="en-NZ"/>
              </w:rPr>
            </w:pPr>
            <w:r w:rsidRPr="00F4461A">
              <w:rPr>
                <w:rStyle w:val="SpecialBold"/>
              </w:rPr>
              <w:t>RANGE STATEMENT</w:t>
            </w:r>
          </w:p>
        </w:tc>
      </w:tr>
      <w:tr w:rsidR="00F4461A" w:rsidRPr="00F4461A" w:rsidTr="004830F1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4830F1" w:rsidP="00F4461A">
            <w:pPr>
              <w:pStyle w:val="BodyText"/>
              <w:rPr>
                <w:lang w:val="en-NZ"/>
              </w:rPr>
            </w:pPr>
            <w:r w:rsidRPr="00F4461A">
              <w:t>The Range Statement provides information about the context in which the unit of competency is carried out. The variables cater for differences between States and Terr</w:t>
            </w:r>
            <w:r w:rsidRPr="00F4461A">
              <w:t>itories and the Commonwealth, and between organisations and workplaces. They allow for different work requirements, work practices and knowledge. The Range Statement also provides a focus for assessment. It relates to the unit as a whole. Text in</w:t>
            </w:r>
            <w:r w:rsidRPr="00F4461A">
              <w:rPr>
                <w:rStyle w:val="BoldandItalics"/>
              </w:rPr>
              <w:t xml:space="preserve"> bold ital</w:t>
            </w:r>
            <w:r w:rsidRPr="00F4461A">
              <w:rPr>
                <w:rStyle w:val="BoldandItalics"/>
              </w:rPr>
              <w:t>ics</w:t>
            </w:r>
            <w:r w:rsidRPr="00F4461A">
              <w:t xml:space="preserve"> in the Performance Criteria is explained here.</w:t>
            </w:r>
          </w:p>
        </w:tc>
      </w:tr>
      <w:tr w:rsidR="00000000" w:rsidRPr="00F4461A" w:rsidTr="004830F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4830F1" w:rsidP="00F4461A">
            <w:pPr>
              <w:pStyle w:val="BodyText"/>
              <w:rPr>
                <w:lang w:val="en-NZ"/>
              </w:rPr>
            </w:pPr>
            <w:r w:rsidRPr="00F4461A">
              <w:rPr>
                <w:rStyle w:val="BoldandItalics"/>
              </w:rPr>
              <w:t xml:space="preserve">Stakeholders </w:t>
            </w:r>
            <w:r w:rsidRPr="00F4461A">
              <w:t>may include: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F4461A" w:rsidRDefault="004830F1" w:rsidP="00F4461A">
            <w:pPr>
              <w:pStyle w:val="ListBullet2"/>
            </w:pPr>
            <w:r w:rsidRPr="00F4461A">
              <w:t xml:space="preserve">all those individuals and groups both inside and outside the organisation that have </w:t>
            </w:r>
            <w:r w:rsidRPr="00F4461A">
              <w:t>some direct interest in the organisation's behaviour, actions, products and services such as:</w:t>
            </w:r>
          </w:p>
          <w:p w:rsidR="00000000" w:rsidRPr="00F4461A" w:rsidRDefault="004830F1" w:rsidP="00F4461A">
            <w:pPr>
              <w:pStyle w:val="ListBullet3"/>
            </w:pPr>
            <w:r w:rsidRPr="00F4461A">
              <w:t>users of the human resource service</w:t>
            </w:r>
          </w:p>
          <w:p w:rsidR="00000000" w:rsidRPr="00F4461A" w:rsidRDefault="004830F1" w:rsidP="00F4461A">
            <w:pPr>
              <w:pStyle w:val="ListBullet3"/>
            </w:pPr>
            <w:r w:rsidRPr="00F4461A">
              <w:t>employees at all levels of the organisation</w:t>
            </w:r>
          </w:p>
          <w:p w:rsidR="00000000" w:rsidRPr="00F4461A" w:rsidRDefault="004830F1" w:rsidP="00F4461A">
            <w:pPr>
              <w:pStyle w:val="ListBullet3"/>
            </w:pPr>
            <w:r w:rsidRPr="00F4461A">
              <w:t>other public sector organisations</w:t>
            </w:r>
          </w:p>
          <w:p w:rsidR="00000000" w:rsidRPr="00F4461A" w:rsidRDefault="004830F1" w:rsidP="00F4461A">
            <w:pPr>
              <w:pStyle w:val="ListBullet3"/>
            </w:pPr>
            <w:r w:rsidRPr="00F4461A">
              <w:t>union and association representatives</w:t>
            </w:r>
          </w:p>
          <w:p w:rsidR="00000000" w:rsidRPr="00F4461A" w:rsidRDefault="004830F1" w:rsidP="00F4461A">
            <w:pPr>
              <w:pStyle w:val="ListBullet3"/>
            </w:pPr>
            <w:r w:rsidRPr="00F4461A">
              <w:t>boards of management</w:t>
            </w:r>
          </w:p>
          <w:p w:rsidR="00000000" w:rsidRPr="00F4461A" w:rsidRDefault="004830F1" w:rsidP="00F4461A">
            <w:pPr>
              <w:pStyle w:val="ListBullet3"/>
            </w:pPr>
            <w:r w:rsidRPr="00F4461A">
              <w:t>government</w:t>
            </w:r>
          </w:p>
          <w:p w:rsidR="00000000" w:rsidRDefault="004830F1" w:rsidP="00F4461A">
            <w:pPr>
              <w:pStyle w:val="ListBullet3"/>
              <w:rPr>
                <w:lang w:val="en-NZ"/>
              </w:rPr>
            </w:pPr>
            <w:r w:rsidRPr="00F4461A">
              <w:t>Ministers</w:t>
            </w:r>
          </w:p>
        </w:tc>
      </w:tr>
      <w:tr w:rsidR="00000000" w:rsidRPr="00F4461A" w:rsidTr="004830F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4830F1" w:rsidP="00F4461A">
            <w:pPr>
              <w:pStyle w:val="BodyText"/>
              <w:rPr>
                <w:lang w:val="en-NZ"/>
              </w:rPr>
            </w:pPr>
            <w:r w:rsidRPr="00F4461A">
              <w:rPr>
                <w:rStyle w:val="BoldandItalics"/>
              </w:rPr>
              <w:lastRenderedPageBreak/>
              <w:t>Key performance management elements</w:t>
            </w:r>
            <w:r w:rsidRPr="00F4461A">
              <w:rPr>
                <w:rStyle w:val="Emphasis"/>
              </w:rPr>
              <w:t xml:space="preserve"> </w:t>
            </w:r>
            <w:r w:rsidRPr="00F4461A">
              <w:t>may include: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F4461A" w:rsidRDefault="004830F1" w:rsidP="00F4461A">
            <w:pPr>
              <w:pStyle w:val="ListBullet2"/>
            </w:pPr>
            <w:r w:rsidRPr="00F4461A">
              <w:t>framework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>culture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>tools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>processes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>work level standards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>common language for standards and appraisals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>reward and recognition strategies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>professional development strategies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>career management strategies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>under-performance policy</w:t>
            </w:r>
          </w:p>
          <w:p w:rsidR="00000000" w:rsidRDefault="004830F1" w:rsidP="00F4461A">
            <w:pPr>
              <w:pStyle w:val="ListBullet2"/>
              <w:rPr>
                <w:lang w:val="en-NZ"/>
              </w:rPr>
            </w:pPr>
            <w:r w:rsidRPr="00F4461A">
              <w:t>grievance processes</w:t>
            </w:r>
          </w:p>
        </w:tc>
      </w:tr>
      <w:tr w:rsidR="00000000" w:rsidRPr="00F4461A" w:rsidTr="004830F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4830F1" w:rsidP="00F4461A">
            <w:pPr>
              <w:pStyle w:val="BodyText"/>
              <w:rPr>
                <w:lang w:val="en-NZ"/>
              </w:rPr>
            </w:pPr>
            <w:r w:rsidRPr="00F4461A">
              <w:rPr>
                <w:rStyle w:val="BoldandItalics"/>
              </w:rPr>
              <w:t xml:space="preserve">Performance management </w:t>
            </w:r>
            <w:r w:rsidRPr="00F4461A">
              <w:t>refers to: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4830F1" w:rsidP="00F4461A">
            <w:pPr>
              <w:pStyle w:val="ListBullet2"/>
              <w:rPr>
                <w:lang w:val="en-NZ"/>
              </w:rPr>
            </w:pPr>
            <w:r w:rsidRPr="00F4461A">
              <w:t>planning and review of the on-the-job performance of individuals and groups of employees</w:t>
            </w:r>
          </w:p>
        </w:tc>
      </w:tr>
      <w:tr w:rsidR="00000000" w:rsidRPr="00F4461A" w:rsidTr="004830F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4830F1" w:rsidP="00F4461A">
            <w:pPr>
              <w:pStyle w:val="BodyText"/>
              <w:rPr>
                <w:lang w:val="en-NZ"/>
              </w:rPr>
            </w:pPr>
            <w:r w:rsidRPr="00F4461A">
              <w:rPr>
                <w:rStyle w:val="BoldandItalics"/>
              </w:rPr>
              <w:t>Performance management processes</w:t>
            </w:r>
            <w:r w:rsidRPr="00F4461A">
              <w:t xml:space="preserve"> may include: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F4461A" w:rsidRDefault="004830F1" w:rsidP="00F4461A">
            <w:pPr>
              <w:pStyle w:val="ListBullet2"/>
            </w:pPr>
            <w:r w:rsidRPr="00F4461A">
              <w:t>planning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>measurement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>reviews and appraisals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>monitoring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>evaluation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>feedback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>coaching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>performance agreements</w:t>
            </w:r>
          </w:p>
          <w:p w:rsidR="00000000" w:rsidRDefault="004830F1" w:rsidP="00F4461A">
            <w:pPr>
              <w:pStyle w:val="ListBullet2"/>
              <w:rPr>
                <w:lang w:val="en-NZ"/>
              </w:rPr>
            </w:pPr>
            <w:r w:rsidRPr="00F4461A">
              <w:t>learning and development plans</w:t>
            </w:r>
          </w:p>
        </w:tc>
      </w:tr>
      <w:tr w:rsidR="00000000" w:rsidRPr="00F4461A" w:rsidTr="004830F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4830F1" w:rsidP="00F4461A">
            <w:pPr>
              <w:pStyle w:val="BodyText"/>
              <w:rPr>
                <w:lang w:val="en-NZ"/>
              </w:rPr>
            </w:pPr>
            <w:r w:rsidRPr="00F4461A">
              <w:rPr>
                <w:rStyle w:val="BoldandItalics"/>
              </w:rPr>
              <w:t>Information about performance management processes</w:t>
            </w:r>
            <w:r w:rsidRPr="00F4461A">
              <w:rPr>
                <w:rStyle w:val="Emphasis"/>
              </w:rPr>
              <w:t xml:space="preserve"> </w:t>
            </w:r>
            <w:r w:rsidRPr="00F4461A">
              <w:t xml:space="preserve">may be distributed </w:t>
            </w:r>
            <w:r w:rsidRPr="00F4461A">
              <w:t>through: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F4461A" w:rsidRDefault="004830F1" w:rsidP="00F4461A">
            <w:pPr>
              <w:pStyle w:val="ListBullet2"/>
            </w:pPr>
            <w:r w:rsidRPr="00F4461A">
              <w:t>written documentation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>manuals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>policy and procedure statements, guides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 xml:space="preserve"> information brochures and pamphlets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>oral advice and guidance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>one-on-one meetings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>small group meetings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>telephone contact and/or electronic mail</w:t>
            </w:r>
          </w:p>
          <w:p w:rsidR="00000000" w:rsidRDefault="004830F1" w:rsidP="00F4461A">
            <w:pPr>
              <w:pStyle w:val="ListBullet2"/>
              <w:rPr>
                <w:lang w:val="en-NZ"/>
              </w:rPr>
            </w:pPr>
            <w:r w:rsidRPr="00F4461A">
              <w:t>training programs</w:t>
            </w:r>
          </w:p>
        </w:tc>
      </w:tr>
      <w:tr w:rsidR="00000000" w:rsidRPr="00F4461A" w:rsidTr="004830F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4830F1" w:rsidP="00F4461A">
            <w:pPr>
              <w:pStyle w:val="BodyText"/>
              <w:rPr>
                <w:lang w:val="en-NZ"/>
              </w:rPr>
            </w:pPr>
            <w:r w:rsidRPr="00F4461A">
              <w:rPr>
                <w:rStyle w:val="BoldandItalics"/>
              </w:rPr>
              <w:t>Legislation and policy</w:t>
            </w:r>
            <w:r w:rsidRPr="00F4461A">
              <w:t xml:space="preserve"> may include: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F4461A" w:rsidRDefault="004830F1" w:rsidP="00F4461A">
            <w:pPr>
              <w:pStyle w:val="ListBullet2"/>
            </w:pPr>
            <w:r w:rsidRPr="00F4461A">
              <w:t>Commonwealth and State/Territory legislation including equal employment opportunity, anti-discrimination and employment law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>national and international codes of practice and standards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>the organisation's policies and prac</w:t>
            </w:r>
            <w:r w:rsidRPr="00F4461A">
              <w:t>tices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>government policy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>codes of conduct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 xml:space="preserve">codes of ethics 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>public sector standards</w:t>
            </w:r>
          </w:p>
          <w:p w:rsidR="00000000" w:rsidRDefault="004830F1" w:rsidP="00F4461A">
            <w:pPr>
              <w:pStyle w:val="ListBullet2"/>
              <w:rPr>
                <w:lang w:val="en-NZ"/>
              </w:rPr>
            </w:pPr>
            <w:r w:rsidRPr="00F4461A">
              <w:t>security policy and procedures</w:t>
            </w:r>
          </w:p>
        </w:tc>
      </w:tr>
      <w:tr w:rsidR="00000000" w:rsidRPr="00F4461A" w:rsidTr="004830F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4830F1" w:rsidP="00F4461A">
            <w:pPr>
              <w:pStyle w:val="BodyText"/>
              <w:rPr>
                <w:lang w:val="en-NZ"/>
              </w:rPr>
            </w:pPr>
            <w:r w:rsidRPr="00F4461A">
              <w:rPr>
                <w:rStyle w:val="BoldandItalics"/>
              </w:rPr>
              <w:t>Internal and external factors impacting upon performance management processes</w:t>
            </w:r>
            <w:r w:rsidRPr="00F4461A">
              <w:t xml:space="preserve"> may include: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F4461A" w:rsidRDefault="004830F1" w:rsidP="00F4461A">
            <w:pPr>
              <w:pStyle w:val="ListBullet2"/>
            </w:pPr>
            <w:r w:rsidRPr="00F4461A">
              <w:t>emerging human resource development needs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>changed financial or political circumstances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>downsizing or organisation restructuring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>opportunities for outsourcing changes in legislation or core business activities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>changes in activities or aspirations of customers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>organisational changes</w:t>
            </w:r>
          </w:p>
          <w:p w:rsidR="00000000" w:rsidRPr="00F4461A" w:rsidRDefault="004830F1" w:rsidP="00F4461A">
            <w:pPr>
              <w:pStyle w:val="ListBullet2"/>
            </w:pPr>
            <w:r w:rsidRPr="00F4461A">
              <w:t>labour market</w:t>
            </w:r>
          </w:p>
        </w:tc>
      </w:tr>
    </w:tbl>
    <w:p w:rsidR="004830F1" w:rsidRDefault="004830F1" w:rsidP="00F4461A">
      <w:pPr>
        <w:pStyle w:val="BodyText"/>
      </w:pPr>
    </w:p>
    <w:p w:rsidR="004830F1" w:rsidRDefault="004830F1" w:rsidP="00F4461A">
      <w:pPr>
        <w:pStyle w:val="BodyText"/>
      </w:pPr>
    </w:p>
    <w:p w:rsidR="00000000" w:rsidRPr="00F4461A" w:rsidRDefault="004830F1" w:rsidP="00F4461A">
      <w:pPr>
        <w:pStyle w:val="Heading1"/>
      </w:pPr>
      <w:bookmarkStart w:id="12" w:name="O_496112"/>
      <w:bookmarkEnd w:id="12"/>
      <w:r w:rsidRPr="00F4461A">
        <w:t>Unit Sector(s)</w:t>
      </w:r>
    </w:p>
    <w:p w:rsidR="00000000" w:rsidRPr="00F4461A" w:rsidRDefault="004830F1" w:rsidP="00F4461A">
      <w:pPr>
        <w:pStyle w:val="BodyText"/>
      </w:pPr>
      <w:r w:rsidRPr="00F4461A">
        <w:t>Not applicable.</w:t>
      </w:r>
    </w:p>
    <w:p w:rsidR="00000000" w:rsidRPr="00F4461A" w:rsidRDefault="004830F1" w:rsidP="00F4461A">
      <w:pPr>
        <w:pStyle w:val="AllowPageBreak"/>
      </w:pPr>
    </w:p>
    <w:p w:rsidR="00000000" w:rsidRPr="00F4461A" w:rsidRDefault="004830F1" w:rsidP="00F4461A">
      <w:pPr>
        <w:pStyle w:val="Heading1"/>
      </w:pPr>
      <w:bookmarkStart w:id="13" w:name="O_496122"/>
      <w:bookmarkEnd w:id="13"/>
      <w:r w:rsidRPr="00F4461A">
        <w:t>Competency field</w:t>
      </w:r>
    </w:p>
    <w:p w:rsidR="00000000" w:rsidRPr="00F4461A" w:rsidRDefault="004830F1" w:rsidP="00F4461A">
      <w:pPr>
        <w:pStyle w:val="BodyText"/>
      </w:pPr>
      <w:r w:rsidRPr="00F4461A">
        <w:t>Human Resource Management.</w:t>
      </w:r>
    </w:p>
    <w:p w:rsidR="00000000" w:rsidRPr="00F4461A" w:rsidRDefault="004830F1" w:rsidP="00F4461A"/>
    <w:sectPr w:rsidR="00000000" w:rsidRPr="00F4461A" w:rsidSect="00F4461A">
      <w:headerReference w:type="default" r:id="rId13"/>
      <w:footerReference w:type="default" r:id="rId14"/>
      <w:pgSz w:w="11908" w:h="16833"/>
      <w:pgMar w:top="1700" w:right="1418" w:bottom="1700" w:left="1418" w:header="992" w:footer="9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30F1">
      <w:r>
        <w:separator/>
      </w:r>
    </w:p>
  </w:endnote>
  <w:endnote w:type="continuationSeparator" w:id="0">
    <w:p w:rsidR="00000000" w:rsidRDefault="0048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61A" w:rsidRDefault="00F4461A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4830F1" w:rsidRDefault="004830F1" w:rsidP="004830F1">
    <w:pPr>
      <w:pStyle w:val="Body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61A" w:rsidRDefault="00F4461A">
    <w:pPr>
      <w:pStyle w:val="Footer"/>
      <w:framePr w:wrap="aroun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F1" w:rsidRDefault="004830F1" w:rsidP="00F4461A">
    <w:pPr>
      <w:pStyle w:val="Footer"/>
      <w:framePr w:wrap="around"/>
    </w:pPr>
    <w:fldSimple w:instr=" DOCPROPERTY  Subject  \* MERGEFORMAT ">
      <w:r>
        <w:t>6</w:t>
      </w:r>
    </w:fldSimple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>
        <w:rPr>
          <w:noProof/>
        </w:rPr>
        <w:t>7</w:t>
      </w:r>
    </w:fldSimple>
  </w:p>
  <w:p w:rsidR="004830F1" w:rsidRDefault="004830F1" w:rsidP="00F4461A">
    <w:pPr>
      <w:pStyle w:val="Footer"/>
      <w:framePr w:wrap="around"/>
    </w:pPr>
    <w:r>
      <w:t xml:space="preserve">© Commonwealth of Australia, </w:t>
    </w:r>
    <w:r>
      <w:fldChar w:fldCharType="begin"/>
    </w:r>
    <w:r>
      <w:instrText xml:space="preserve"> DATE  \@ "yyyy"  \* MERGEFORMAT </w:instrText>
    </w:r>
    <w:r>
      <w:fldChar w:fldCharType="separate"/>
    </w:r>
    <w:r>
      <w:rPr>
        <w:noProof/>
      </w:rPr>
      <w:t>2012</w:t>
    </w:r>
    <w:r>
      <w:fldChar w:fldCharType="end"/>
    </w:r>
    <w:r>
      <w:tab/>
    </w:r>
    <w:fldSimple w:instr=" DOCPROPERTY  Author  \* MERGEFORMAT ">
      <w:r>
        <w:t>Government Skills Australia</w:t>
      </w:r>
    </w:fldSimple>
  </w:p>
  <w:p w:rsidR="004830F1" w:rsidRDefault="004830F1" w:rsidP="00F4461A">
    <w:pPr>
      <w:pStyle w:val="Footer"/>
      <w:framePr w:wrap="around" w:hAnchor="text" w:x="285"/>
      <w:pBdr>
        <w:top w:val="none" w:sz="0" w:space="0" w:color="auto"/>
      </w:pBdr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30F1">
      <w:r>
        <w:separator/>
      </w:r>
    </w:p>
  </w:footnote>
  <w:footnote w:type="continuationSeparator" w:id="0">
    <w:p w:rsidR="00000000" w:rsidRDefault="00483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61A" w:rsidRDefault="00F4461A">
    <w:pPr>
      <w:pStyle w:val="Header"/>
      <w:framePr w:wrap="arou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61A" w:rsidRPr="004830F1" w:rsidRDefault="004830F1" w:rsidP="004830F1">
    <w:pPr>
      <w:pStyle w:val="BodyText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214CDD8" wp14:editId="0329C52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34032" cy="10953482"/>
          <wp:effectExtent l="19050" t="0" r="268" b="0"/>
          <wp:wrapNone/>
          <wp:docPr id="2" name="Picture 0" descr="titlep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lepa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4032" cy="109534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61A" w:rsidRDefault="00F4461A">
    <w:pPr>
      <w:pStyle w:val="Header"/>
      <w:framePr w:wrap="aroun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F1" w:rsidRPr="002D2AF8" w:rsidRDefault="004830F1" w:rsidP="00F4461A">
    <w:pPr>
      <w:pStyle w:val="Header"/>
      <w:framePr w:wrap="around"/>
    </w:pPr>
    <w:fldSimple w:instr=" TITLE   \* MERGEFORMAT ">
      <w:r>
        <w:t>PSPHR616A Manage performance management system</w:t>
      </w:r>
    </w:fldSimple>
    <w:r>
      <w:tab/>
      <w:t xml:space="preserve">Date this document was generated: </w:t>
    </w:r>
    <w:r>
      <w:fldChar w:fldCharType="begin"/>
    </w:r>
    <w:r>
      <w:instrText xml:space="preserve"> CREATEDATE  \@ "d MMMM yyyy"  \* MERGEFORMAT </w:instrText>
    </w:r>
    <w:r>
      <w:fldChar w:fldCharType="separate"/>
    </w:r>
    <w:r>
      <w:rPr>
        <w:noProof/>
      </w:rPr>
      <w:t>2 November 2012</w:t>
    </w:r>
    <w:r>
      <w:fldChar w:fldCharType="end"/>
    </w:r>
  </w:p>
  <w:p w:rsidR="004830F1" w:rsidRDefault="004830F1" w:rsidP="00F4461A">
    <w:pPr>
      <w:pStyle w:val="Header"/>
      <w:framePr w:wrap="around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3E70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D28FC8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8BCCFA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98347A92"/>
    <w:lvl w:ilvl="0">
      <w:start w:val="1"/>
      <w:numFmt w:val="bullet"/>
      <w:pStyle w:val="ListBullet5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4">
    <w:nsid w:val="FFFFFF81"/>
    <w:multiLevelType w:val="singleLevel"/>
    <w:tmpl w:val="F1C0E5CE"/>
    <w:lvl w:ilvl="0">
      <w:start w:val="1"/>
      <w:numFmt w:val="bullet"/>
      <w:pStyle w:val="ListBullet4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5">
    <w:nsid w:val="FFFFFF82"/>
    <w:multiLevelType w:val="singleLevel"/>
    <w:tmpl w:val="E1C61E12"/>
    <w:lvl w:ilvl="0">
      <w:start w:val="1"/>
      <w:numFmt w:val="bullet"/>
      <w:pStyle w:val="ListBullet3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6">
    <w:nsid w:val="FFFFFF83"/>
    <w:multiLevelType w:val="singleLevel"/>
    <w:tmpl w:val="BA2CAB8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FE"/>
    <w:multiLevelType w:val="singleLevel"/>
    <w:tmpl w:val="AAE8F584"/>
    <w:lvl w:ilvl="0">
      <w:numFmt w:val="bullet"/>
      <w:lvlText w:val="*"/>
      <w:lvlJc w:val="left"/>
    </w:lvl>
  </w:abstractNum>
  <w:abstractNum w:abstractNumId="8">
    <w:nsid w:val="0F986AE9"/>
    <w:multiLevelType w:val="hybridMultilevel"/>
    <w:tmpl w:val="3224FB34"/>
    <w:lvl w:ilvl="0" w:tplc="4BBAA7B4">
      <w:start w:val="1"/>
      <w:numFmt w:val="bullet"/>
      <w:pStyle w:val="TableList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10">
    <w:nsid w:val="2E40016D"/>
    <w:multiLevelType w:val="hybridMultilevel"/>
    <w:tmpl w:val="4252A022"/>
    <w:lvl w:ilvl="0" w:tplc="14543D62">
      <w:start w:val="1"/>
      <w:numFmt w:val="lowerLetter"/>
      <w:pStyle w:val="ListAlpha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2">
    <w:nsid w:val="61571FB4"/>
    <w:multiLevelType w:val="singleLevel"/>
    <w:tmpl w:val="F73ECEE0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40" w:hanging="340"/>
      </w:pPr>
      <w:rPr>
        <w:rFonts w:ascii="Palatino Linotype" w:hAnsi="Palatino Linotype" w:hint="default"/>
        <w:b w:val="0"/>
        <w:i w:val="0"/>
        <w:color w:val="auto"/>
      </w:rPr>
    </w:lvl>
  </w:abstractNum>
  <w:abstractNum w:abstractNumId="13">
    <w:nsid w:val="7B332CA8"/>
    <w:multiLevelType w:val="hybridMultilevel"/>
    <w:tmpl w:val="F2C40DCA"/>
    <w:lvl w:ilvl="0" w:tplc="78B88CD2">
      <w:start w:val="1"/>
      <w:numFmt w:val="lowerLetter"/>
      <w:pStyle w:val="ListAlpha2"/>
      <w:lvlText w:val="%1.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4">
    <w:nsid w:val="7F827F09"/>
    <w:multiLevelType w:val="singleLevel"/>
    <w:tmpl w:val="36769C9A"/>
    <w:lvl w:ilvl="0">
      <w:start w:val="1"/>
      <w:numFmt w:val="decimal"/>
      <w:pStyle w:val="ListNumber2"/>
      <w:lvlText w:val="%1."/>
      <w:lvlJc w:val="left"/>
      <w:pPr>
        <w:tabs>
          <w:tab w:val="num" w:pos="1060"/>
        </w:tabs>
        <w:ind w:left="680" w:hanging="340"/>
      </w:pPr>
      <w:rPr>
        <w:rFonts w:ascii="Garamond" w:hAnsi="Garamond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3"/>
  </w:num>
  <w:num w:numId="9">
    <w:abstractNumId w:val="10"/>
  </w:num>
  <w:num w:numId="10">
    <w:abstractNumId w:val="14"/>
  </w:num>
  <w:num w:numId="11">
    <w:abstractNumId w:val="12"/>
  </w:num>
  <w:num w:numId="12">
    <w:abstractNumId w:val="8"/>
  </w:num>
  <w:num w:numId="13">
    <w:abstractNumId w:val="11"/>
  </w:num>
  <w:num w:numId="14">
    <w:abstractNumId w:val="9"/>
  </w:num>
  <w:num w:numId="15">
    <w:abstractNumId w:val="5"/>
  </w:num>
  <w:num w:numId="16">
    <w:abstractNumId w:val="7"/>
    <w:lvlOverride w:ilvl="0">
      <w:lvl w:ilvl="0">
        <w:numFmt w:val="bullet"/>
        <w:lvlText w:val=""/>
        <w:legacy w:legacy="1" w:legacySpace="0" w:legacyIndent="0"/>
        <w:lvlJc w:val="left"/>
        <w:pPr>
          <w:ind w:left="360" w:firstLine="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4461A"/>
    <w:rsid w:val="004830F1"/>
    <w:rsid w:val="00F4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unhideWhenUsed="0"/>
    <w:lsdException w:name="index heading" w:uiPriority="0"/>
    <w:lsdException w:name="caption" w:uiPriority="0" w:qFormat="1"/>
    <w:lsdException w:name="table of figures" w:uiPriority="0"/>
    <w:lsdException w:name="page number" w:uiPriority="0"/>
    <w:lsdException w:name="List" w:uiPriority="0" w:unhideWhenUsed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 w:unhideWhenUsed="0"/>
    <w:lsdException w:name="List Bullet 3" w:uiPriority="0" w:unhideWhenUsed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 w:unhideWhenUsed="0"/>
    <w:lsdException w:name="Body Text" w:uiPriority="0" w:unhideWhenUsed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First Indent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61A"/>
    <w:pPr>
      <w:keepNext/>
      <w:keepLines/>
      <w:spacing w:after="0" w:line="240" w:lineRule="auto"/>
    </w:pPr>
    <w:rPr>
      <w:rFonts w:ascii="Courier New" w:eastAsia="Times New Roman" w:hAnsi="Courier New" w:cs="Times New Roman"/>
      <w:szCs w:val="20"/>
      <w:lang w:eastAsia="en-US"/>
    </w:rPr>
  </w:style>
  <w:style w:type="paragraph" w:styleId="Heading1">
    <w:name w:val="heading 1"/>
    <w:basedOn w:val="HeadingBase"/>
    <w:next w:val="Heading2"/>
    <w:link w:val="Heading1Char"/>
    <w:qFormat/>
    <w:rsid w:val="00F4461A"/>
    <w:pPr>
      <w:spacing w:before="360" w:after="60"/>
      <w:outlineLvl w:val="0"/>
    </w:pPr>
    <w:rPr>
      <w:sz w:val="32"/>
    </w:rPr>
  </w:style>
  <w:style w:type="paragraph" w:styleId="Heading2">
    <w:name w:val="heading 2"/>
    <w:basedOn w:val="HeadingBase"/>
    <w:next w:val="BodyText"/>
    <w:link w:val="Heading2Char"/>
    <w:qFormat/>
    <w:rsid w:val="00F4461A"/>
    <w:pPr>
      <w:keepLines/>
      <w:spacing w:before="240" w:after="120"/>
      <w:outlineLvl w:val="1"/>
    </w:pPr>
    <w:rPr>
      <w:sz w:val="28"/>
      <w:szCs w:val="40"/>
    </w:rPr>
  </w:style>
  <w:style w:type="paragraph" w:styleId="Heading3">
    <w:name w:val="heading 3"/>
    <w:basedOn w:val="HeadingBase"/>
    <w:next w:val="BodyText"/>
    <w:link w:val="Heading3Char"/>
    <w:qFormat/>
    <w:rsid w:val="00F4461A"/>
    <w:pPr>
      <w:spacing w:before="180" w:after="120"/>
      <w:outlineLvl w:val="2"/>
    </w:pPr>
    <w:rPr>
      <w:spacing w:val="-10"/>
      <w:kern w:val="32"/>
    </w:rPr>
  </w:style>
  <w:style w:type="paragraph" w:styleId="Heading4">
    <w:name w:val="heading 4"/>
    <w:basedOn w:val="HeadingBase"/>
    <w:next w:val="BodyText"/>
    <w:link w:val="Heading4Char"/>
    <w:qFormat/>
    <w:rsid w:val="00F4461A"/>
    <w:pPr>
      <w:spacing w:before="160" w:after="120"/>
      <w:outlineLvl w:val="3"/>
    </w:pPr>
    <w:rPr>
      <w:sz w:val="22"/>
    </w:rPr>
  </w:style>
  <w:style w:type="paragraph" w:styleId="Heading5">
    <w:name w:val="heading 5"/>
    <w:basedOn w:val="HeadingBase"/>
    <w:next w:val="Normal"/>
    <w:link w:val="Heading5Char"/>
    <w:qFormat/>
    <w:rsid w:val="00F4461A"/>
    <w:pPr>
      <w:spacing w:before="80"/>
      <w:outlineLvl w:val="4"/>
    </w:pPr>
    <w:rPr>
      <w:color w:val="918585"/>
      <w:sz w:val="20"/>
    </w:rPr>
  </w:style>
  <w:style w:type="paragraph" w:styleId="Heading6">
    <w:name w:val="heading 6"/>
    <w:basedOn w:val="HeadingBase"/>
    <w:next w:val="Normal"/>
    <w:link w:val="Heading6Char"/>
    <w:qFormat/>
    <w:rsid w:val="00F4461A"/>
    <w:pPr>
      <w:spacing w:before="60"/>
      <w:outlineLvl w:val="5"/>
    </w:pPr>
    <w:rPr>
      <w:color w:val="918585"/>
      <w:sz w:val="20"/>
    </w:rPr>
  </w:style>
  <w:style w:type="paragraph" w:styleId="Heading7">
    <w:name w:val="heading 7"/>
    <w:basedOn w:val="Normal"/>
    <w:next w:val="Normal"/>
    <w:link w:val="Heading7Char"/>
    <w:qFormat/>
    <w:rsid w:val="00F4461A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F4461A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F4461A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unhideWhenUsed/>
    <w:rsid w:val="00F4461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4461A"/>
  </w:style>
  <w:style w:type="character" w:customStyle="1" w:styleId="Heading1Char">
    <w:name w:val="Heading 1 Char"/>
    <w:basedOn w:val="DefaultParagraphFont"/>
    <w:link w:val="Heading1"/>
    <w:rsid w:val="00F4461A"/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paragraph" w:styleId="BodyText">
    <w:name w:val="Body Text"/>
    <w:basedOn w:val="Normal"/>
    <w:link w:val="BodyTextChar"/>
    <w:rsid w:val="00F4461A"/>
    <w:pPr>
      <w:spacing w:before="120" w:after="120"/>
      <w:contextualSpacing/>
    </w:pPr>
    <w:rPr>
      <w:rFonts w:ascii="Times New Roman" w:hAnsi="Times New Roman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F4461A"/>
    <w:rPr>
      <w:rFonts w:ascii="Times New Roman" w:eastAsia="Times New Roman" w:hAnsi="Times New Roman" w:cs="Times New Roman"/>
      <w:sz w:val="24"/>
      <w:lang w:eastAsia="en-US"/>
    </w:rPr>
  </w:style>
  <w:style w:type="paragraph" w:styleId="Footer">
    <w:name w:val="footer"/>
    <w:basedOn w:val="Normal"/>
    <w:link w:val="FooterChar"/>
    <w:rsid w:val="00F4461A"/>
    <w:pPr>
      <w:framePr w:w="9112" w:wrap="around" w:vAnchor="text" w:hAnchor="page" w:x="1419" w:y="1" w:anchorLock="1"/>
      <w:pBdr>
        <w:top w:val="single" w:sz="4" w:space="1" w:color="auto"/>
      </w:pBdr>
      <w:tabs>
        <w:tab w:val="right" w:pos="9072"/>
      </w:tabs>
      <w:spacing w:before="120"/>
    </w:pPr>
    <w:rPr>
      <w:rFonts w:ascii="Times New Roman" w:hAnsi="Times New Roman"/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F4461A"/>
    <w:rPr>
      <w:rFonts w:ascii="Times New Roman" w:eastAsia="Times New Roman" w:hAnsi="Times New Roman" w:cs="Times New Roman"/>
      <w:sz w:val="16"/>
      <w:lang w:eastAsia="en-US"/>
    </w:rPr>
  </w:style>
  <w:style w:type="paragraph" w:styleId="List">
    <w:name w:val="List"/>
    <w:basedOn w:val="BodyText"/>
    <w:next w:val="BodyText"/>
    <w:rsid w:val="00F4461A"/>
    <w:pPr>
      <w:tabs>
        <w:tab w:val="left" w:pos="340"/>
      </w:tabs>
      <w:spacing w:before="60" w:after="60"/>
      <w:ind w:left="340" w:hanging="340"/>
    </w:pPr>
  </w:style>
  <w:style w:type="character" w:customStyle="1" w:styleId="SpecialBold">
    <w:name w:val="Special Bold"/>
    <w:basedOn w:val="DefaultParagraphFont"/>
    <w:rsid w:val="00F4461A"/>
    <w:rPr>
      <w:b/>
      <w:spacing w:val="0"/>
    </w:rPr>
  </w:style>
  <w:style w:type="paragraph" w:styleId="ListBullet2">
    <w:name w:val="List Bullet 2"/>
    <w:basedOn w:val="List2"/>
    <w:rsid w:val="00F4461A"/>
    <w:pPr>
      <w:numPr>
        <w:numId w:val="14"/>
      </w:numPr>
      <w:tabs>
        <w:tab w:val="clear" w:pos="680"/>
      </w:tabs>
    </w:pPr>
  </w:style>
  <w:style w:type="character" w:styleId="Emphasis">
    <w:name w:val="Emphasis"/>
    <w:basedOn w:val="DefaultParagraphFont"/>
    <w:qFormat/>
    <w:rsid w:val="00F4461A"/>
    <w:rPr>
      <w:i/>
    </w:rPr>
  </w:style>
  <w:style w:type="paragraph" w:customStyle="1" w:styleId="SuperHeading">
    <w:name w:val="SuperHeading"/>
    <w:basedOn w:val="Normal"/>
    <w:rsid w:val="00F4461A"/>
    <w:pPr>
      <w:spacing w:before="240" w:after="120"/>
      <w:outlineLvl w:val="0"/>
    </w:pPr>
    <w:rPr>
      <w:rFonts w:ascii="Times New Roman" w:hAnsi="Times New Roman"/>
      <w:b/>
      <w:sz w:val="28"/>
    </w:rPr>
  </w:style>
  <w:style w:type="paragraph" w:customStyle="1" w:styleId="AllowPageBreak">
    <w:name w:val="AllowPageBreak"/>
    <w:rsid w:val="00F4461A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"/>
      <w:szCs w:val="20"/>
      <w:lang w:eastAsia="en-US"/>
    </w:rPr>
  </w:style>
  <w:style w:type="paragraph" w:styleId="ListBullet3">
    <w:name w:val="List Bullet 3"/>
    <w:basedOn w:val="List3"/>
    <w:rsid w:val="00F4461A"/>
    <w:pPr>
      <w:numPr>
        <w:numId w:val="2"/>
      </w:numPr>
      <w:tabs>
        <w:tab w:val="clear" w:pos="1021"/>
      </w:tabs>
      <w:ind w:left="1037" w:hanging="357"/>
    </w:pPr>
  </w:style>
  <w:style w:type="character" w:customStyle="1" w:styleId="BoldandItalics">
    <w:name w:val="Bold and Italics"/>
    <w:qFormat/>
    <w:rsid w:val="00F4461A"/>
    <w:rPr>
      <w:b/>
      <w:i/>
      <w:u w:val="none"/>
    </w:rPr>
  </w:style>
  <w:style w:type="character" w:customStyle="1" w:styleId="Heading2Char">
    <w:name w:val="Heading 2 Char"/>
    <w:basedOn w:val="DefaultParagraphFont"/>
    <w:link w:val="Heading2"/>
    <w:rsid w:val="00F4461A"/>
    <w:rPr>
      <w:rFonts w:ascii="Times New Roman" w:eastAsia="Times New Roman" w:hAnsi="Times New Roman" w:cs="Times New Roman"/>
      <w:b/>
      <w:sz w:val="28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rsid w:val="00F4461A"/>
    <w:rPr>
      <w:rFonts w:ascii="Times New Roman" w:eastAsia="Times New Roman" w:hAnsi="Times New Roman" w:cs="Times New Roman"/>
      <w:b/>
      <w:spacing w:val="-10"/>
      <w:kern w:val="32"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F4461A"/>
    <w:rPr>
      <w:rFonts w:ascii="Times New Roman" w:eastAsia="Times New Roman" w:hAnsi="Times New Roman" w:cs="Times New Roman"/>
      <w:b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F4461A"/>
    <w:rPr>
      <w:rFonts w:ascii="Times New Roman" w:eastAsia="Times New Roman" w:hAnsi="Times New Roman" w:cs="Times New Roman"/>
      <w:b/>
      <w:color w:val="918585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F4461A"/>
    <w:rPr>
      <w:rFonts w:ascii="Times New Roman" w:eastAsia="Times New Roman" w:hAnsi="Times New Roman" w:cs="Times New Roman"/>
      <w:b/>
      <w:color w:val="918585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F4461A"/>
    <w:rPr>
      <w:rFonts w:ascii="Courier New" w:eastAsia="Times New Roman" w:hAnsi="Courier New" w:cs="Times New Roman"/>
      <w:i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F4461A"/>
    <w:rPr>
      <w:rFonts w:ascii="Courier New" w:eastAsia="Times New Roman" w:hAnsi="Courier New" w:cs="Times New Roman"/>
      <w:i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F4461A"/>
    <w:rPr>
      <w:rFonts w:ascii="Courier New" w:eastAsia="Times New Roman" w:hAnsi="Courier New" w:cs="Times New Roman"/>
      <w:i/>
      <w:szCs w:val="20"/>
      <w:lang w:eastAsia="en-US"/>
    </w:rPr>
  </w:style>
  <w:style w:type="paragraph" w:customStyle="1" w:styleId="HeadingBase">
    <w:name w:val="Heading Base"/>
    <w:rsid w:val="00F4461A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TOC3">
    <w:name w:val="toc 3"/>
    <w:basedOn w:val="TOCBase"/>
    <w:next w:val="Normal"/>
    <w:semiHidden/>
    <w:rsid w:val="00F4461A"/>
    <w:pPr>
      <w:tabs>
        <w:tab w:val="right" w:leader="dot" w:pos="9072"/>
      </w:tabs>
      <w:ind w:left="567"/>
    </w:pPr>
    <w:rPr>
      <w:szCs w:val="22"/>
    </w:rPr>
  </w:style>
  <w:style w:type="paragraph" w:customStyle="1" w:styleId="TOCBase">
    <w:name w:val="TOC Base"/>
    <w:rsid w:val="00F4461A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en-US"/>
    </w:rPr>
  </w:style>
  <w:style w:type="paragraph" w:styleId="TOC2">
    <w:name w:val="toc 2"/>
    <w:basedOn w:val="TOCBase"/>
    <w:next w:val="Normal"/>
    <w:rsid w:val="00F4461A"/>
    <w:pPr>
      <w:tabs>
        <w:tab w:val="right" w:leader="dot" w:pos="9072"/>
      </w:tabs>
      <w:spacing w:before="40" w:after="40"/>
      <w:ind w:left="284"/>
    </w:pPr>
    <w:rPr>
      <w:rFonts w:ascii="Times New Roman" w:hAnsi="Times New Roman"/>
    </w:rPr>
  </w:style>
  <w:style w:type="paragraph" w:styleId="TOC1">
    <w:name w:val="toc 1"/>
    <w:basedOn w:val="TOCBase"/>
    <w:next w:val="Normal"/>
    <w:rsid w:val="00F4461A"/>
    <w:pPr>
      <w:keepNext/>
      <w:tabs>
        <w:tab w:val="right" w:leader="dot" w:pos="9072"/>
      </w:tabs>
      <w:spacing w:before="120" w:after="60"/>
    </w:pPr>
    <w:rPr>
      <w:rFonts w:ascii="Times New Roman" w:hAnsi="Times New Roman"/>
      <w:b/>
      <w:szCs w:val="24"/>
    </w:rPr>
  </w:style>
  <w:style w:type="paragraph" w:styleId="Title">
    <w:name w:val="Title"/>
    <w:basedOn w:val="HeadingBase"/>
    <w:link w:val="TitleChar"/>
    <w:qFormat/>
    <w:rsid w:val="00F4461A"/>
    <w:pPr>
      <w:spacing w:before="5040"/>
      <w:jc w:val="center"/>
    </w:pPr>
    <w:rPr>
      <w:sz w:val="48"/>
      <w:szCs w:val="72"/>
      <w:lang w:val="en-US"/>
    </w:rPr>
  </w:style>
  <w:style w:type="character" w:customStyle="1" w:styleId="TitleChar">
    <w:name w:val="Title Char"/>
    <w:basedOn w:val="DefaultParagraphFont"/>
    <w:link w:val="Title"/>
    <w:rsid w:val="00F4461A"/>
    <w:rPr>
      <w:rFonts w:ascii="Times New Roman" w:eastAsia="Times New Roman" w:hAnsi="Times New Roman" w:cs="Times New Roman"/>
      <w:b/>
      <w:sz w:val="48"/>
      <w:szCs w:val="72"/>
      <w:lang w:val="en-US" w:eastAsia="en-US"/>
    </w:rPr>
  </w:style>
  <w:style w:type="paragraph" w:customStyle="1" w:styleId="Figures">
    <w:name w:val="Figures"/>
    <w:basedOn w:val="BodyText"/>
    <w:next w:val="Normal"/>
    <w:rsid w:val="00F4461A"/>
    <w:pPr>
      <w:tabs>
        <w:tab w:val="left" w:pos="3600"/>
        <w:tab w:val="left" w:pos="3958"/>
      </w:tabs>
    </w:pPr>
  </w:style>
  <w:style w:type="paragraph" w:styleId="ListBullet">
    <w:name w:val="List Bullet"/>
    <w:basedOn w:val="List"/>
    <w:rsid w:val="00F4461A"/>
    <w:pPr>
      <w:numPr>
        <w:numId w:val="13"/>
      </w:numPr>
      <w:tabs>
        <w:tab w:val="clear" w:pos="340"/>
      </w:tabs>
      <w:spacing w:before="40" w:after="40"/>
    </w:pPr>
  </w:style>
  <w:style w:type="paragraph" w:customStyle="1" w:styleId="Note">
    <w:name w:val="Note"/>
    <w:basedOn w:val="BodyText"/>
    <w:rsid w:val="00F4461A"/>
    <w:p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tabs>
        <w:tab w:val="left" w:pos="680"/>
      </w:tabs>
    </w:pPr>
  </w:style>
  <w:style w:type="paragraph" w:customStyle="1" w:styleId="SuperTitle">
    <w:name w:val="SuperTitle"/>
    <w:basedOn w:val="Title"/>
    <w:rsid w:val="00F4461A"/>
    <w:pPr>
      <w:framePr w:wrap="auto" w:hAnchor="text" w:y="6049"/>
    </w:pPr>
    <w:rPr>
      <w:color w:val="000000"/>
      <w:sz w:val="40"/>
    </w:rPr>
  </w:style>
  <w:style w:type="paragraph" w:customStyle="1" w:styleId="TOCTitle">
    <w:name w:val="TOCTitle"/>
    <w:basedOn w:val="Heading1"/>
    <w:rsid w:val="00F4461A"/>
    <w:pPr>
      <w:spacing w:after="240"/>
      <w:jc w:val="center"/>
      <w:outlineLvl w:val="9"/>
    </w:pPr>
    <w:rPr>
      <w:caps/>
    </w:rPr>
  </w:style>
  <w:style w:type="paragraph" w:customStyle="1" w:styleId="Version">
    <w:name w:val="Version"/>
    <w:rsid w:val="00F4461A"/>
    <w:pPr>
      <w:spacing w:before="5600" w:after="0" w:line="240" w:lineRule="auto"/>
    </w:pPr>
    <w:rPr>
      <w:rFonts w:ascii="Times New Roman" w:eastAsia="Times New Roman" w:hAnsi="Times New Roman" w:cs="Times New Roman"/>
      <w:b/>
      <w:sz w:val="20"/>
      <w:szCs w:val="72"/>
      <w:lang w:val="en-US" w:eastAsia="en-US"/>
    </w:rPr>
  </w:style>
  <w:style w:type="paragraph" w:styleId="Index1">
    <w:name w:val="index 1"/>
    <w:basedOn w:val="Normal"/>
    <w:next w:val="Normal"/>
    <w:semiHidden/>
    <w:rsid w:val="00F4461A"/>
    <w:pPr>
      <w:keepNext w:val="0"/>
      <w:tabs>
        <w:tab w:val="right" w:pos="4176"/>
      </w:tabs>
      <w:ind w:left="198" w:hanging="198"/>
    </w:pPr>
    <w:rPr>
      <w:rFonts w:ascii="Garamond" w:hAnsi="Garamond"/>
    </w:rPr>
  </w:style>
  <w:style w:type="paragraph" w:styleId="IndexHeading">
    <w:name w:val="index heading"/>
    <w:basedOn w:val="Normal"/>
    <w:next w:val="Index1"/>
    <w:semiHidden/>
    <w:rsid w:val="00F4461A"/>
    <w:pPr>
      <w:spacing w:before="120" w:after="120"/>
    </w:pPr>
    <w:rPr>
      <w:rFonts w:ascii="Arial" w:hAnsi="Arial"/>
      <w:b/>
      <w:color w:val="918585"/>
      <w:sz w:val="24"/>
    </w:rPr>
  </w:style>
  <w:style w:type="paragraph" w:styleId="Header">
    <w:name w:val="header"/>
    <w:basedOn w:val="Normal"/>
    <w:link w:val="HeaderChar"/>
    <w:rsid w:val="00F4461A"/>
    <w:pPr>
      <w:keepNext w:val="0"/>
      <w:keepLines w:val="0"/>
      <w:framePr w:w="9214" w:wrap="around" w:vAnchor="text" w:hAnchor="page" w:x="1419" w:y="1"/>
      <w:pBdr>
        <w:bottom w:val="single" w:sz="4" w:space="1" w:color="auto"/>
      </w:pBdr>
      <w:tabs>
        <w:tab w:val="right" w:pos="9072"/>
      </w:tabs>
    </w:pPr>
    <w:rPr>
      <w:rFonts w:ascii="Times New Roman" w:hAnsi="Times New Roman"/>
      <w:sz w:val="16"/>
      <w:lang w:val="en-GB"/>
    </w:rPr>
  </w:style>
  <w:style w:type="character" w:customStyle="1" w:styleId="HeaderChar">
    <w:name w:val="Header Char"/>
    <w:basedOn w:val="DefaultParagraphFont"/>
    <w:link w:val="Header"/>
    <w:rsid w:val="00F4461A"/>
    <w:rPr>
      <w:rFonts w:ascii="Times New Roman" w:eastAsia="Times New Roman" w:hAnsi="Times New Roman" w:cs="Times New Roman"/>
      <w:sz w:val="16"/>
      <w:szCs w:val="20"/>
      <w:lang w:val="en-GB" w:eastAsia="en-US"/>
    </w:rPr>
  </w:style>
  <w:style w:type="paragraph" w:customStyle="1" w:styleId="Chapter">
    <w:name w:val="Chapter"/>
    <w:basedOn w:val="Normal"/>
    <w:rsid w:val="00F4461A"/>
    <w:pPr>
      <w:spacing w:before="240"/>
    </w:pPr>
    <w:rPr>
      <w:rFonts w:ascii="Times New Roman" w:hAnsi="Times New Roman"/>
      <w:smallCaps/>
      <w:spacing w:val="80"/>
      <w:sz w:val="28"/>
    </w:rPr>
  </w:style>
  <w:style w:type="paragraph" w:customStyle="1" w:styleId="InChapter">
    <w:name w:val="InChapter"/>
    <w:basedOn w:val="Heading3"/>
    <w:rsid w:val="00F4461A"/>
    <w:pPr>
      <w:spacing w:after="240"/>
      <w:outlineLvl w:val="9"/>
    </w:pPr>
    <w:rPr>
      <w:noProof/>
    </w:rPr>
  </w:style>
  <w:style w:type="paragraph" w:styleId="Index2">
    <w:name w:val="index 2"/>
    <w:basedOn w:val="Normal"/>
    <w:next w:val="Normal"/>
    <w:semiHidden/>
    <w:rsid w:val="00F4461A"/>
    <w:pPr>
      <w:tabs>
        <w:tab w:val="right" w:pos="4176"/>
      </w:tabs>
      <w:ind w:left="568" w:hanging="284"/>
    </w:pPr>
    <w:rPr>
      <w:rFonts w:ascii="Garamond" w:hAnsi="Garamond"/>
    </w:rPr>
  </w:style>
  <w:style w:type="paragraph" w:customStyle="1" w:styleId="Byline">
    <w:name w:val="Byline"/>
    <w:rsid w:val="00F4461A"/>
    <w:pPr>
      <w:framePr w:wrap="around" w:vAnchor="page" w:hAnchor="page" w:x="1666" w:y="13933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8"/>
      <w:lang w:val="en-US" w:eastAsia="en-US"/>
    </w:rPr>
  </w:style>
  <w:style w:type="paragraph" w:customStyle="1" w:styleId="Drawings">
    <w:name w:val="Drawings"/>
    <w:basedOn w:val="Figures"/>
    <w:rsid w:val="00F4461A"/>
    <w:pPr>
      <w:tabs>
        <w:tab w:val="clear" w:pos="3600"/>
        <w:tab w:val="clear" w:pos="3958"/>
      </w:tabs>
      <w:jc w:val="right"/>
    </w:pPr>
  </w:style>
  <w:style w:type="paragraph" w:styleId="Caption">
    <w:name w:val="caption"/>
    <w:basedOn w:val="BodyText"/>
    <w:next w:val="Normal"/>
    <w:qFormat/>
    <w:rsid w:val="00F4461A"/>
    <w:pPr>
      <w:framePr w:w="2268" w:hSpace="181" w:vSpace="181" w:wrap="around" w:vAnchor="text" w:hAnchor="page" w:x="1135" w:y="285" w:anchorLock="1"/>
    </w:pPr>
    <w:rPr>
      <w:i/>
    </w:rPr>
  </w:style>
  <w:style w:type="paragraph" w:customStyle="1" w:styleId="MiniTOCTitle">
    <w:name w:val="MiniTOCTitle"/>
    <w:basedOn w:val="Heading4"/>
    <w:rsid w:val="00F4461A"/>
    <w:pPr>
      <w:spacing w:before="240"/>
      <w:outlineLvl w:val="9"/>
    </w:pPr>
    <w:rPr>
      <w:noProof/>
      <w:sz w:val="24"/>
    </w:rPr>
  </w:style>
  <w:style w:type="paragraph" w:customStyle="1" w:styleId="MiniTOCItem">
    <w:name w:val="MiniTOCItem"/>
    <w:basedOn w:val="ListBullet"/>
    <w:rsid w:val="00F4461A"/>
    <w:pPr>
      <w:numPr>
        <w:numId w:val="0"/>
      </w:numPr>
      <w:tabs>
        <w:tab w:val="right" w:leader="dot" w:pos="6521"/>
      </w:tabs>
      <w:spacing w:before="0" w:after="0"/>
    </w:pPr>
  </w:style>
  <w:style w:type="paragraph" w:customStyle="1" w:styleId="TOFTitle">
    <w:name w:val="TOFTitle"/>
    <w:basedOn w:val="TOCTitle"/>
    <w:rsid w:val="00F4461A"/>
  </w:style>
  <w:style w:type="paragraph" w:styleId="TableofFigures">
    <w:name w:val="table of figures"/>
    <w:basedOn w:val="Normal"/>
    <w:next w:val="Normal"/>
    <w:semiHidden/>
    <w:rsid w:val="00F4461A"/>
    <w:pPr>
      <w:tabs>
        <w:tab w:val="right" w:leader="dot" w:pos="9072"/>
      </w:tabs>
      <w:ind w:left="970" w:hanging="403"/>
    </w:pPr>
    <w:rPr>
      <w:rFonts w:ascii="Times New Roman" w:hAnsi="Times New Roman"/>
      <w:b/>
    </w:rPr>
  </w:style>
  <w:style w:type="paragraph" w:styleId="ListNumber">
    <w:name w:val="List Number"/>
    <w:basedOn w:val="List"/>
    <w:rsid w:val="00F4461A"/>
    <w:pPr>
      <w:numPr>
        <w:numId w:val="11"/>
      </w:numPr>
    </w:pPr>
  </w:style>
  <w:style w:type="character" w:customStyle="1" w:styleId="WingdingSymbols">
    <w:name w:val="Wingding Symbols"/>
    <w:rsid w:val="00F4461A"/>
    <w:rPr>
      <w:rFonts w:ascii="Wingdings" w:hAnsi="Wingdings"/>
    </w:rPr>
  </w:style>
  <w:style w:type="paragraph" w:customStyle="1" w:styleId="TableHeading">
    <w:name w:val="Table Heading"/>
    <w:basedOn w:val="HeadingBase"/>
    <w:rsid w:val="00F4461A"/>
    <w:pPr>
      <w:keepLines/>
      <w:pBdr>
        <w:bottom w:val="single" w:sz="6" w:space="1" w:color="918585"/>
      </w:pBdr>
      <w:spacing w:before="240"/>
    </w:pPr>
  </w:style>
  <w:style w:type="character" w:customStyle="1" w:styleId="HotSpot">
    <w:name w:val="HotSpot"/>
    <w:rsid w:val="00F4461A"/>
    <w:rPr>
      <w:color w:val="0033CC"/>
      <w:u w:val="none"/>
    </w:rPr>
  </w:style>
  <w:style w:type="paragraph" w:customStyle="1" w:styleId="BodyTextRight">
    <w:name w:val="Body Text Right"/>
    <w:basedOn w:val="BodyText"/>
    <w:rsid w:val="00F4461A"/>
    <w:pPr>
      <w:spacing w:before="0" w:after="0"/>
      <w:jc w:val="right"/>
    </w:pPr>
  </w:style>
  <w:style w:type="paragraph" w:styleId="Index3">
    <w:name w:val="index 3"/>
    <w:basedOn w:val="ListNumber2"/>
    <w:next w:val="Normal"/>
    <w:semiHidden/>
    <w:rsid w:val="00F4461A"/>
    <w:pPr>
      <w:numPr>
        <w:numId w:val="0"/>
      </w:numPr>
      <w:tabs>
        <w:tab w:val="right" w:leader="dot" w:pos="4176"/>
      </w:tabs>
    </w:pPr>
  </w:style>
  <w:style w:type="paragraph" w:styleId="ListNumber2">
    <w:name w:val="List Number 2"/>
    <w:basedOn w:val="List2"/>
    <w:rsid w:val="00F4461A"/>
    <w:pPr>
      <w:numPr>
        <w:numId w:val="10"/>
      </w:numPr>
      <w:tabs>
        <w:tab w:val="clear" w:pos="1060"/>
      </w:tabs>
    </w:pPr>
  </w:style>
  <w:style w:type="paragraph" w:customStyle="1" w:styleId="MarginNote">
    <w:name w:val="Margin Note"/>
    <w:basedOn w:val="BodyText"/>
    <w:rsid w:val="00F4461A"/>
    <w:pPr>
      <w:pBdr>
        <w:top w:val="single" w:sz="6" w:space="6" w:color="FFFFFF"/>
        <w:bottom w:val="single" w:sz="6" w:space="6" w:color="FFFFFF"/>
      </w:pBdr>
      <w:shd w:val="pct10" w:color="auto" w:fill="auto"/>
      <w:tabs>
        <w:tab w:val="left" w:pos="567"/>
      </w:tabs>
      <w:spacing w:before="60" w:after="60"/>
    </w:pPr>
    <w:rPr>
      <w:rFonts w:ascii="Arial" w:hAnsi="Arial"/>
      <w:i/>
    </w:rPr>
  </w:style>
  <w:style w:type="paragraph" w:styleId="Subtitle">
    <w:name w:val="Subtitle"/>
    <w:basedOn w:val="Normal"/>
    <w:link w:val="SubtitleChar"/>
    <w:qFormat/>
    <w:rsid w:val="00F4461A"/>
    <w:pPr>
      <w:framePr w:wrap="around" w:vAnchor="page" w:hAnchor="page" w:x="1671" w:y="14401"/>
      <w:tabs>
        <w:tab w:val="left" w:pos="7230"/>
      </w:tabs>
      <w:jc w:val="center"/>
    </w:pPr>
    <w:rPr>
      <w:rFonts w:ascii="Times New Roman" w:hAnsi="Times New Roman"/>
      <w:b/>
      <w:sz w:val="20"/>
    </w:rPr>
  </w:style>
  <w:style w:type="character" w:customStyle="1" w:styleId="SubtitleChar">
    <w:name w:val="Subtitle Char"/>
    <w:basedOn w:val="DefaultParagraphFont"/>
    <w:link w:val="Subtitle"/>
    <w:rsid w:val="00F4461A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customStyle="1" w:styleId="GlossaryHeading">
    <w:name w:val="Glossary Heading"/>
    <w:basedOn w:val="HeadingBase"/>
    <w:rsid w:val="00F4461A"/>
    <w:rPr>
      <w:sz w:val="32"/>
    </w:rPr>
  </w:style>
  <w:style w:type="paragraph" w:customStyle="1" w:styleId="HeadingProcedure">
    <w:name w:val="Heading Procedure"/>
    <w:basedOn w:val="HeadingBase"/>
    <w:next w:val="Normal"/>
    <w:rsid w:val="00F4461A"/>
    <w:pPr>
      <w:tabs>
        <w:tab w:val="left" w:pos="0"/>
      </w:tabs>
      <w:spacing w:before="120" w:after="60"/>
    </w:pPr>
    <w:rPr>
      <w:i/>
      <w:color w:val="918585"/>
      <w:sz w:val="22"/>
    </w:rPr>
  </w:style>
  <w:style w:type="paragraph" w:customStyle="1" w:styleId="TableBodyText">
    <w:name w:val="Table Body Text"/>
    <w:basedOn w:val="BodyText"/>
    <w:rsid w:val="00F4461A"/>
    <w:pPr>
      <w:spacing w:before="60" w:after="60"/>
    </w:pPr>
  </w:style>
  <w:style w:type="paragraph" w:styleId="ListContinue">
    <w:name w:val="List Continue"/>
    <w:basedOn w:val="List"/>
    <w:rsid w:val="00F4461A"/>
    <w:pPr>
      <w:ind w:firstLine="0"/>
    </w:pPr>
  </w:style>
  <w:style w:type="paragraph" w:customStyle="1" w:styleId="ListNote">
    <w:name w:val="List Note"/>
    <w:basedOn w:val="List"/>
    <w:rsid w:val="00F4461A"/>
    <w:pPr>
      <w:pBdr>
        <w:top w:val="single" w:sz="6" w:space="2" w:color="918585"/>
        <w:bottom w:val="single" w:sz="6" w:space="2" w:color="918585"/>
      </w:pBdr>
      <w:tabs>
        <w:tab w:val="left" w:pos="1021"/>
      </w:tabs>
      <w:ind w:firstLine="0"/>
    </w:pPr>
  </w:style>
  <w:style w:type="paragraph" w:customStyle="1" w:styleId="Warning">
    <w:name w:val="Warning"/>
    <w:basedOn w:val="BodyText"/>
    <w:rsid w:val="00F4461A"/>
    <w:pPr>
      <w:shd w:val="clear" w:color="auto" w:fill="D9D9D9"/>
      <w:tabs>
        <w:tab w:val="left" w:pos="992"/>
      </w:tabs>
      <w:ind w:left="119" w:right="119"/>
    </w:pPr>
    <w:rPr>
      <w:sz w:val="20"/>
    </w:rPr>
  </w:style>
  <w:style w:type="paragraph" w:customStyle="1" w:styleId="MarginIcons">
    <w:name w:val="Margin Icons"/>
    <w:basedOn w:val="BodyText"/>
    <w:rsid w:val="00F4461A"/>
    <w:pPr>
      <w:framePr w:w="1134" w:wrap="around" w:vAnchor="text" w:hAnchor="page" w:x="1419" w:y="455" w:anchorLock="1"/>
      <w:spacing w:before="60" w:after="60"/>
      <w:jc w:val="right"/>
    </w:pPr>
    <w:rPr>
      <w:rFonts w:ascii="Trebuchet MS" w:hAnsi="Trebuchet MS"/>
      <w:b/>
    </w:rPr>
  </w:style>
  <w:style w:type="character" w:customStyle="1" w:styleId="Monospace">
    <w:name w:val="Monospace"/>
    <w:basedOn w:val="DefaultParagraphFont"/>
    <w:rsid w:val="00F4461A"/>
    <w:rPr>
      <w:rFonts w:ascii="Courier New" w:hAnsi="Courier New"/>
    </w:rPr>
  </w:style>
  <w:style w:type="paragraph" w:customStyle="1" w:styleId="NoteBullet">
    <w:name w:val="Note Bullet"/>
    <w:basedOn w:val="Note"/>
    <w:rsid w:val="00F4461A"/>
    <w:pPr>
      <w:tabs>
        <w:tab w:val="clear" w:pos="680"/>
      </w:tabs>
      <w:spacing w:before="60" w:after="60"/>
    </w:pPr>
  </w:style>
  <w:style w:type="paragraph" w:customStyle="1" w:styleId="SubHeading2">
    <w:name w:val="SubHeading2"/>
    <w:basedOn w:val="HeadingBase"/>
    <w:rsid w:val="00F4461A"/>
    <w:pPr>
      <w:spacing w:before="240" w:after="60"/>
    </w:pPr>
    <w:rPr>
      <w:sz w:val="20"/>
    </w:rPr>
  </w:style>
  <w:style w:type="paragraph" w:customStyle="1" w:styleId="SubHeading1">
    <w:name w:val="SubHeading1"/>
    <w:basedOn w:val="HeadingBase"/>
    <w:rsid w:val="00F4461A"/>
    <w:pPr>
      <w:spacing w:before="240" w:after="60"/>
    </w:pPr>
    <w:rPr>
      <w:color w:val="918585"/>
      <w:sz w:val="22"/>
    </w:rPr>
  </w:style>
  <w:style w:type="paragraph" w:customStyle="1" w:styleId="SideHeading">
    <w:name w:val="Side Heading"/>
    <w:basedOn w:val="HeadingBase"/>
    <w:rsid w:val="00F4461A"/>
    <w:pPr>
      <w:framePr w:w="2268" w:h="567" w:hSpace="181" w:vSpace="181" w:wrap="around" w:vAnchor="text" w:hAnchor="page" w:x="1419" w:y="370" w:anchorLock="1"/>
    </w:pPr>
    <w:rPr>
      <w:sz w:val="22"/>
    </w:rPr>
  </w:style>
  <w:style w:type="paragraph" w:customStyle="1" w:styleId="TableListBullet">
    <w:name w:val="Table List Bullet"/>
    <w:basedOn w:val="ListBullet"/>
    <w:rsid w:val="00F4461A"/>
    <w:pPr>
      <w:numPr>
        <w:numId w:val="12"/>
      </w:numPr>
    </w:pPr>
  </w:style>
  <w:style w:type="paragraph" w:styleId="PlainText">
    <w:name w:val="Plain Text"/>
    <w:basedOn w:val="Normal"/>
    <w:link w:val="PlainTextChar"/>
    <w:rsid w:val="00F4461A"/>
    <w:rPr>
      <w:sz w:val="20"/>
    </w:rPr>
  </w:style>
  <w:style w:type="character" w:customStyle="1" w:styleId="PlainTextChar">
    <w:name w:val="Plain Text Char"/>
    <w:basedOn w:val="DefaultParagraphFont"/>
    <w:link w:val="PlainText"/>
    <w:rsid w:val="00F4461A"/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MenuOption">
    <w:name w:val="Menu Option"/>
    <w:basedOn w:val="DefaultParagraphFont"/>
    <w:rsid w:val="00F4461A"/>
    <w:rPr>
      <w:b/>
      <w:smallCaps/>
    </w:rPr>
  </w:style>
  <w:style w:type="paragraph" w:customStyle="1" w:styleId="TableListNumber">
    <w:name w:val="Table List Number"/>
    <w:basedOn w:val="ListNumber"/>
    <w:rsid w:val="00F4461A"/>
    <w:pPr>
      <w:numPr>
        <w:numId w:val="0"/>
      </w:numPr>
    </w:pPr>
  </w:style>
  <w:style w:type="paragraph" w:styleId="TOC4">
    <w:name w:val="toc 4"/>
    <w:basedOn w:val="TOCBase"/>
    <w:next w:val="Normal"/>
    <w:semiHidden/>
    <w:rsid w:val="00F4461A"/>
    <w:pPr>
      <w:tabs>
        <w:tab w:val="right" w:leader="dot" w:pos="9071"/>
      </w:tabs>
      <w:ind w:left="1701"/>
    </w:pPr>
  </w:style>
  <w:style w:type="paragraph" w:customStyle="1" w:styleId="ListAlpha">
    <w:name w:val="List Alpha"/>
    <w:basedOn w:val="List"/>
    <w:rsid w:val="00F4461A"/>
    <w:pPr>
      <w:numPr>
        <w:numId w:val="9"/>
      </w:numPr>
    </w:pPr>
  </w:style>
  <w:style w:type="paragraph" w:customStyle="1" w:styleId="ListAlpha2">
    <w:name w:val="List Alpha 2"/>
    <w:basedOn w:val="List2"/>
    <w:rsid w:val="00F4461A"/>
    <w:pPr>
      <w:numPr>
        <w:numId w:val="8"/>
      </w:numPr>
    </w:pPr>
  </w:style>
  <w:style w:type="paragraph" w:styleId="List2">
    <w:name w:val="List 2"/>
    <w:basedOn w:val="BodyText"/>
    <w:rsid w:val="00F4461A"/>
    <w:pPr>
      <w:tabs>
        <w:tab w:val="left" w:pos="680"/>
      </w:tabs>
      <w:spacing w:before="60" w:after="60"/>
      <w:ind w:left="680" w:hanging="340"/>
    </w:pPr>
  </w:style>
  <w:style w:type="paragraph" w:styleId="List3">
    <w:name w:val="List 3"/>
    <w:basedOn w:val="BodyText"/>
    <w:rsid w:val="00F4461A"/>
    <w:pPr>
      <w:tabs>
        <w:tab w:val="left" w:pos="1021"/>
      </w:tabs>
      <w:spacing w:before="60" w:after="60"/>
      <w:ind w:left="1020" w:hanging="340"/>
    </w:pPr>
  </w:style>
  <w:style w:type="paragraph" w:styleId="List4">
    <w:name w:val="List 4"/>
    <w:basedOn w:val="BodyText"/>
    <w:rsid w:val="00F4461A"/>
    <w:pPr>
      <w:tabs>
        <w:tab w:val="left" w:pos="1361"/>
      </w:tabs>
      <w:spacing w:before="60" w:after="60"/>
      <w:ind w:left="1361" w:hanging="340"/>
    </w:pPr>
  </w:style>
  <w:style w:type="paragraph" w:styleId="List5">
    <w:name w:val="List 5"/>
    <w:basedOn w:val="BodyText"/>
    <w:rsid w:val="00F4461A"/>
    <w:pPr>
      <w:tabs>
        <w:tab w:val="left" w:pos="1701"/>
      </w:tabs>
      <w:spacing w:before="60" w:after="60"/>
      <w:ind w:left="1701" w:hanging="340"/>
    </w:pPr>
  </w:style>
  <w:style w:type="paragraph" w:styleId="ListBullet4">
    <w:name w:val="List Bullet 4"/>
    <w:basedOn w:val="List4"/>
    <w:rsid w:val="00F4461A"/>
    <w:pPr>
      <w:numPr>
        <w:numId w:val="3"/>
      </w:numPr>
    </w:pPr>
  </w:style>
  <w:style w:type="paragraph" w:styleId="ListBullet5">
    <w:name w:val="List Bullet 5"/>
    <w:basedOn w:val="List5"/>
    <w:rsid w:val="00F4461A"/>
    <w:pPr>
      <w:numPr>
        <w:numId w:val="4"/>
      </w:numPr>
    </w:pPr>
  </w:style>
  <w:style w:type="paragraph" w:styleId="ListContinue2">
    <w:name w:val="List Continue 2"/>
    <w:basedOn w:val="List2"/>
    <w:rsid w:val="00F4461A"/>
    <w:pPr>
      <w:ind w:firstLine="0"/>
    </w:pPr>
  </w:style>
  <w:style w:type="paragraph" w:styleId="ListContinue3">
    <w:name w:val="List Continue 3"/>
    <w:basedOn w:val="List3"/>
    <w:rsid w:val="00F4461A"/>
    <w:pPr>
      <w:ind w:left="1021" w:firstLine="0"/>
    </w:pPr>
  </w:style>
  <w:style w:type="paragraph" w:styleId="ListContinue4">
    <w:name w:val="List Continue 4"/>
    <w:basedOn w:val="List4"/>
    <w:rsid w:val="00F4461A"/>
    <w:pPr>
      <w:ind w:firstLine="0"/>
    </w:pPr>
  </w:style>
  <w:style w:type="paragraph" w:styleId="ListContinue5">
    <w:name w:val="List Continue 5"/>
    <w:basedOn w:val="List5"/>
    <w:rsid w:val="00F4461A"/>
    <w:pPr>
      <w:ind w:firstLine="0"/>
    </w:pPr>
  </w:style>
  <w:style w:type="paragraph" w:styleId="ListNumber3">
    <w:name w:val="List Number 3"/>
    <w:basedOn w:val="List3"/>
    <w:rsid w:val="00F4461A"/>
    <w:pPr>
      <w:numPr>
        <w:numId w:val="5"/>
      </w:numPr>
    </w:pPr>
  </w:style>
  <w:style w:type="paragraph" w:styleId="ListNumber4">
    <w:name w:val="List Number 4"/>
    <w:basedOn w:val="List4"/>
    <w:rsid w:val="00F4461A"/>
    <w:pPr>
      <w:numPr>
        <w:numId w:val="6"/>
      </w:numPr>
    </w:pPr>
  </w:style>
  <w:style w:type="paragraph" w:styleId="ListNumber5">
    <w:name w:val="List Number 5"/>
    <w:basedOn w:val="List5"/>
    <w:rsid w:val="00F4461A"/>
    <w:pPr>
      <w:numPr>
        <w:numId w:val="7"/>
      </w:numPr>
    </w:pPr>
  </w:style>
  <w:style w:type="paragraph" w:styleId="BlockText">
    <w:name w:val="Block Text"/>
    <w:basedOn w:val="Normal"/>
    <w:rsid w:val="00F4461A"/>
    <w:pPr>
      <w:spacing w:after="120"/>
      <w:ind w:left="1440" w:right="1440"/>
    </w:pPr>
  </w:style>
  <w:style w:type="character" w:customStyle="1" w:styleId="Subscript">
    <w:name w:val="Subscript"/>
    <w:basedOn w:val="DefaultParagraphFont"/>
    <w:rsid w:val="00F4461A"/>
    <w:rPr>
      <w:sz w:val="16"/>
      <w:vertAlign w:val="subscript"/>
    </w:rPr>
  </w:style>
  <w:style w:type="character" w:customStyle="1" w:styleId="Superscript">
    <w:name w:val="Superscript"/>
    <w:basedOn w:val="DefaultParagraphFont"/>
    <w:rsid w:val="00F4461A"/>
    <w:rPr>
      <w:sz w:val="16"/>
      <w:vertAlign w:val="superscript"/>
    </w:rPr>
  </w:style>
  <w:style w:type="character" w:customStyle="1" w:styleId="Symbols">
    <w:name w:val="Symbols"/>
    <w:basedOn w:val="DefaultParagraphFont"/>
    <w:rsid w:val="00F4461A"/>
    <w:rPr>
      <w:rFonts w:ascii="Symbol" w:hAnsi="Symbol"/>
    </w:rPr>
  </w:style>
  <w:style w:type="character" w:customStyle="1" w:styleId="MenuOptions">
    <w:name w:val="Menu Options"/>
    <w:basedOn w:val="DefaultParagraphFont"/>
    <w:rsid w:val="00F4461A"/>
    <w:rPr>
      <w:rFonts w:ascii="Arial Narrow" w:hAnsi="Arial Narrow"/>
      <w:smallCaps/>
    </w:rPr>
  </w:style>
  <w:style w:type="character" w:customStyle="1" w:styleId="Buttons">
    <w:name w:val="Buttons"/>
    <w:basedOn w:val="DefaultParagraphFont"/>
    <w:rsid w:val="00F4461A"/>
    <w:rPr>
      <w:b/>
    </w:rPr>
  </w:style>
  <w:style w:type="character" w:customStyle="1" w:styleId="Underlined">
    <w:name w:val="Underlined"/>
    <w:basedOn w:val="DefaultParagraphFont"/>
    <w:rsid w:val="00F4461A"/>
    <w:rPr>
      <w:u w:val="single"/>
    </w:rPr>
  </w:style>
  <w:style w:type="paragraph" w:customStyle="1" w:styleId="TableBodyTextRight">
    <w:name w:val="Table Body Text Right"/>
    <w:basedOn w:val="TableBodyText"/>
    <w:rsid w:val="00F4461A"/>
    <w:pPr>
      <w:widowControl w:val="0"/>
      <w:autoSpaceDE w:val="0"/>
      <w:autoSpaceDN w:val="0"/>
      <w:adjustRightInd w:val="0"/>
      <w:jc w:val="right"/>
    </w:pPr>
    <w:rPr>
      <w:rFonts w:cs="Arial"/>
      <w:szCs w:val="18"/>
    </w:rPr>
  </w:style>
  <w:style w:type="paragraph" w:customStyle="1" w:styleId="CopyrightText">
    <w:name w:val="Copyright Text"/>
    <w:basedOn w:val="BodyText"/>
    <w:rsid w:val="00F4461A"/>
    <w:rPr>
      <w:sz w:val="18"/>
    </w:rPr>
  </w:style>
  <w:style w:type="paragraph" w:customStyle="1" w:styleId="BodySmallRight">
    <w:name w:val="Body Small Right"/>
    <w:basedOn w:val="BodyTextRight"/>
    <w:rsid w:val="00F4461A"/>
    <w:rPr>
      <w:sz w:val="18"/>
      <w:szCs w:val="18"/>
    </w:rPr>
  </w:style>
  <w:style w:type="paragraph" w:customStyle="1" w:styleId="MarginEdition">
    <w:name w:val="Margin Edition"/>
    <w:basedOn w:val="MarginNote"/>
    <w:rsid w:val="00F4461A"/>
    <w:pPr>
      <w:spacing w:before="0" w:after="0"/>
    </w:pPr>
    <w:rPr>
      <w:rFonts w:ascii="Times New Roman" w:hAnsi="Times New Roman"/>
      <w:color w:val="999999"/>
    </w:rPr>
  </w:style>
  <w:style w:type="paragraph" w:customStyle="1" w:styleId="Spacer">
    <w:name w:val="Spacer"/>
    <w:basedOn w:val="Normal"/>
    <w:rsid w:val="00F4461A"/>
    <w:rPr>
      <w:sz w:val="2"/>
      <w:szCs w:val="2"/>
    </w:rPr>
  </w:style>
  <w:style w:type="character" w:customStyle="1" w:styleId="Small">
    <w:name w:val="Small"/>
    <w:basedOn w:val="DefaultParagraphFont"/>
    <w:rsid w:val="00F4461A"/>
    <w:rPr>
      <w:sz w:val="16"/>
    </w:rPr>
  </w:style>
  <w:style w:type="paragraph" w:customStyle="1" w:styleId="WideTable">
    <w:name w:val="Wide Table"/>
    <w:basedOn w:val="Normal"/>
    <w:rsid w:val="00F4461A"/>
    <w:pPr>
      <w:ind w:left="-1418"/>
    </w:pPr>
    <w:rPr>
      <w:sz w:val="2"/>
      <w:szCs w:val="2"/>
    </w:rPr>
  </w:style>
  <w:style w:type="character" w:styleId="PageNumber">
    <w:name w:val="page number"/>
    <w:basedOn w:val="DefaultParagraphFont"/>
    <w:rsid w:val="00F4461A"/>
  </w:style>
  <w:style w:type="paragraph" w:styleId="Quote">
    <w:name w:val="Quote"/>
    <w:basedOn w:val="Heading1"/>
    <w:link w:val="QuoteChar"/>
    <w:qFormat/>
    <w:rsid w:val="00F4461A"/>
    <w:rPr>
      <w:b w:val="0"/>
      <w:sz w:val="72"/>
      <w:szCs w:val="72"/>
      <w:lang w:val="en-NZ"/>
    </w:rPr>
  </w:style>
  <w:style w:type="character" w:customStyle="1" w:styleId="QuoteChar">
    <w:name w:val="Quote Char"/>
    <w:basedOn w:val="DefaultParagraphFont"/>
    <w:link w:val="Quote"/>
    <w:rsid w:val="00F4461A"/>
    <w:rPr>
      <w:rFonts w:ascii="Times New Roman" w:eastAsia="Times New Roman" w:hAnsi="Times New Roman" w:cs="Times New Roman"/>
      <w:sz w:val="72"/>
      <w:szCs w:val="72"/>
      <w:lang w:val="en-NZ" w:eastAsia="en-US"/>
    </w:rPr>
  </w:style>
  <w:style w:type="paragraph" w:customStyle="1" w:styleId="ForcePageBreak">
    <w:name w:val="ForcePageBreak"/>
    <w:basedOn w:val="AllowPageBreak"/>
    <w:rsid w:val="00F4461A"/>
    <w:pPr>
      <w:pageBreakBefore/>
    </w:pPr>
  </w:style>
  <w:style w:type="paragraph" w:customStyle="1" w:styleId="Border">
    <w:name w:val="Border"/>
    <w:basedOn w:val="Normal"/>
    <w:qFormat/>
    <w:rsid w:val="00F4461A"/>
    <w:pPr>
      <w:pBdr>
        <w:top w:val="single" w:sz="18" w:space="1" w:color="auto"/>
      </w:pBdr>
    </w:pPr>
    <w:rPr>
      <w:rFonts w:ascii="Times New Roman" w:hAnsi="Times New Roman"/>
      <w:color w:val="FFFFFF"/>
      <w:sz w:val="2"/>
    </w:rPr>
  </w:style>
  <w:style w:type="character" w:styleId="IntenseEmphasis">
    <w:name w:val="Intense Emphasis"/>
    <w:basedOn w:val="DefaultParagraphFont"/>
    <w:uiPriority w:val="21"/>
    <w:qFormat/>
    <w:rsid w:val="00F4461A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461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461A"/>
    <w:rPr>
      <w:rFonts w:ascii="Courier New" w:eastAsia="Times New Roman" w:hAnsi="Courier New" w:cs="Times New Roman"/>
      <w:b/>
      <w:bCs/>
      <w:i/>
      <w:iCs/>
      <w:szCs w:val="20"/>
      <w:lang w:eastAsia="en-US"/>
    </w:rPr>
  </w:style>
  <w:style w:type="character" w:styleId="SubtleReference">
    <w:name w:val="Subtle Reference"/>
    <w:basedOn w:val="DefaultParagraphFont"/>
    <w:uiPriority w:val="31"/>
    <w:qFormat/>
    <w:rsid w:val="00F4461A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F4461A"/>
    <w:rPr>
      <w:b/>
      <w:bCs/>
      <w:smallCaps/>
      <w:color w:val="auto"/>
      <w:spacing w:val="5"/>
      <w:u w:val="single"/>
    </w:rPr>
  </w:style>
  <w:style w:type="paragraph" w:customStyle="1" w:styleId="2ColumnHeading">
    <w:name w:val="2Column Heading"/>
    <w:basedOn w:val="BodyText"/>
    <w:qFormat/>
    <w:rsid w:val="00F4461A"/>
    <w:pPr>
      <w:spacing w:after="60"/>
      <w:ind w:left="-2268"/>
    </w:pPr>
    <w:rPr>
      <w:b/>
    </w:rPr>
  </w:style>
  <w:style w:type="paragraph" w:customStyle="1" w:styleId="Heading1TOC">
    <w:name w:val="Heading1 TOC"/>
    <w:basedOn w:val="Normal"/>
    <w:qFormat/>
    <w:rsid w:val="00F4461A"/>
    <w:pPr>
      <w:spacing w:before="240" w:after="120"/>
    </w:pPr>
    <w:rPr>
      <w:rFonts w:ascii="Times New Roman" w:hAnsi="Times New Roman"/>
      <w:b/>
      <w:sz w:val="32"/>
    </w:rPr>
  </w:style>
  <w:style w:type="paragraph" w:customStyle="1" w:styleId="Heading2TOC">
    <w:name w:val="Heading2 TOC"/>
    <w:basedOn w:val="Normal"/>
    <w:qFormat/>
    <w:rsid w:val="00F4461A"/>
    <w:pPr>
      <w:spacing w:before="240" w:after="60"/>
    </w:pPr>
    <w:rPr>
      <w:rFonts w:ascii="Times New Roman" w:hAnsi="Times New Roman"/>
      <w:b/>
      <w:sz w:val="28"/>
    </w:rPr>
  </w:style>
  <w:style w:type="character" w:customStyle="1" w:styleId="Underline">
    <w:name w:val="Underline"/>
    <w:basedOn w:val="DefaultParagraphFont"/>
    <w:qFormat/>
    <w:rsid w:val="00F4461A"/>
    <w:rPr>
      <w:u w:val="single"/>
    </w:rPr>
  </w:style>
  <w:style w:type="paragraph" w:styleId="BalloonText">
    <w:name w:val="Balloon Text"/>
    <w:basedOn w:val="Normal"/>
    <w:link w:val="BalloonTextChar"/>
    <w:rsid w:val="00F44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461A"/>
    <w:rPr>
      <w:rFonts w:ascii="Tahoma" w:eastAsia="Times New Roman" w:hAnsi="Tahoma" w:cs="Tahoma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F4461A"/>
    <w:pPr>
      <w:spacing w:before="0" w:after="0"/>
      <w:ind w:firstLine="360"/>
      <w:contextualSpacing w:val="0"/>
    </w:pPr>
    <w:rPr>
      <w:rFonts w:ascii="Courier New" w:hAnsi="Courier New"/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F4461A"/>
    <w:rPr>
      <w:rFonts w:ascii="Courier New" w:eastAsia="Times New Roman" w:hAnsi="Courier New" w:cs="Times New Roman"/>
      <w:sz w:val="24"/>
      <w:szCs w:val="20"/>
      <w:lang w:eastAsia="en-US"/>
    </w:rPr>
  </w:style>
  <w:style w:type="character" w:customStyle="1" w:styleId="SpecialBold2">
    <w:name w:val="Special Bold 2"/>
    <w:basedOn w:val="SpecialBold"/>
    <w:uiPriority w:val="1"/>
    <w:qFormat/>
    <w:rsid w:val="00F4461A"/>
    <w:rPr>
      <w:b/>
      <w:color w:val="660033"/>
      <w:spacing w:val="0"/>
    </w:rPr>
  </w:style>
  <w:style w:type="paragraph" w:customStyle="1" w:styleId="Nameditemlist">
    <w:name w:val="Named item list"/>
    <w:basedOn w:val="BodyText"/>
    <w:qFormat/>
    <w:rsid w:val="00F4461A"/>
    <w:pPr>
      <w:keepNext w:val="0"/>
      <w:tabs>
        <w:tab w:val="left" w:pos="2835"/>
      </w:tabs>
      <w:ind w:left="2835" w:hanging="28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1501</Words>
  <Characters>9946</Characters>
  <Application>Microsoft Office Word</Application>
  <DocSecurity>0</DocSecurity>
  <Lines>334</Lines>
  <Paragraphs>193</Paragraphs>
  <ScaleCrop>false</ScaleCrop>
  <Company>Author-it Software Corporation Ltd.</Company>
  <LinksUpToDate>false</LinksUpToDate>
  <CharactersWithSpaces>11378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PSPHR616A Manage performance management system</dc:title>
  <dc:subject>Approved</dc:subject>
  <dc:creator>Government Skills Australia</dc:creator>
  <cp:keywords>Revision Number: 3</cp:keywords>
  <dc:description>Copyright © 1996-2007 Author-it Software Corporation Ltd., all rights reserved.</dc:description>
  <cp:lastModifiedBy>TPCMS</cp:lastModifiedBy>
  <cp:revision>3</cp:revision>
  <dcterms:created xsi:type="dcterms:W3CDTF">2012-11-01T18:16:00Z</dcterms:created>
  <dcterms:modified xsi:type="dcterms:W3CDTF">2012-11-01T18:16:00Z</dcterms:modified>
</cp:coreProperties>
</file>