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24" w:rsidRDefault="00F91E24" w:rsidP="00F91E24">
      <w:pPr>
        <w:pStyle w:val="Title"/>
      </w:pPr>
      <w:fldSimple w:instr=" TITLE   \* MERGEFORMAT ">
        <w:r>
          <w:t>PSP50116 Diploma of Government</w:t>
        </w:r>
      </w:fldSimple>
    </w:p>
    <w:p w:rsidR="00F91E24" w:rsidRDefault="00F91E24" w:rsidP="00F91E24">
      <w:pPr>
        <w:pStyle w:val="Version"/>
        <w:sectPr w:rsidR="00F91E24" w:rsidSect="006822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6822A0" w:rsidRDefault="00F91E24" w:rsidP="006822A0">
      <w:pPr>
        <w:pStyle w:val="SuperHeading"/>
      </w:pPr>
      <w:r w:rsidRPr="006822A0">
        <w:lastRenderedPageBreak/>
        <w:t>PSP50116 Diploma of Government</w:t>
      </w:r>
    </w:p>
    <w:p w:rsidR="00000000" w:rsidRPr="006822A0" w:rsidRDefault="00F91E24" w:rsidP="006822A0">
      <w:pPr>
        <w:pStyle w:val="Heading1"/>
      </w:pPr>
      <w:bookmarkStart w:id="1" w:name="O_789467"/>
      <w:bookmarkEnd w:id="1"/>
      <w:r w:rsidRPr="006822A0">
        <w:t>Modification History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000000" w:rsidTr="00F91E2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TableHeading"/>
              <w:rPr>
                <w:lang w:val="en-NZ"/>
              </w:rPr>
            </w:pPr>
            <w:r w:rsidRPr="006822A0">
              <w:t>Release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TableHeading"/>
              <w:rPr>
                <w:lang w:val="en-NZ"/>
              </w:rPr>
            </w:pPr>
            <w:r w:rsidRPr="006822A0">
              <w:t>Comments</w:t>
            </w:r>
          </w:p>
        </w:tc>
      </w:tr>
      <w:tr w:rsidR="00000000" w:rsidRPr="006822A0" w:rsidTr="00F91E2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1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822A0" w:rsidRDefault="00F91E24" w:rsidP="006822A0">
            <w:pPr>
              <w:pStyle w:val="BodyText"/>
            </w:pPr>
            <w:r w:rsidRPr="006822A0">
              <w:t xml:space="preserve">This qualification was released in PSP Public Sector Training Package release 1.0 and meets the Standards for Training Packages. </w:t>
            </w:r>
          </w:p>
          <w:p w:rsidR="00000000" w:rsidRPr="006822A0" w:rsidRDefault="00F91E24" w:rsidP="006822A0">
            <w:pPr>
              <w:pStyle w:val="BodyText"/>
            </w:pPr>
          </w:p>
          <w:p w:rsidR="00000000" w:rsidRPr="006822A0" w:rsidRDefault="00F91E24" w:rsidP="006822A0">
            <w:pPr>
              <w:pStyle w:val="BodyText"/>
            </w:pPr>
            <w:r w:rsidRPr="006822A0">
              <w:t>This qualification supersedes and is equivalent to PSP50112 Diploma of Government.</w:t>
            </w:r>
          </w:p>
          <w:p w:rsidR="00000000" w:rsidRPr="006822A0" w:rsidRDefault="00F91E24" w:rsidP="006822A0">
            <w:pPr>
              <w:pStyle w:val="BodyText"/>
            </w:pPr>
          </w:p>
          <w:p w:rsidR="00000000" w:rsidRPr="006822A0" w:rsidRDefault="00F91E24" w:rsidP="006822A0">
            <w:pPr>
              <w:pStyle w:val="ListBullet"/>
            </w:pPr>
            <w:r w:rsidRPr="006822A0">
              <w:t>PSP unit codes updated</w:t>
            </w:r>
          </w:p>
          <w:p w:rsidR="00000000" w:rsidRPr="006822A0" w:rsidRDefault="00F91E24" w:rsidP="006822A0">
            <w:pPr>
              <w:pStyle w:val="ListBullet"/>
            </w:pPr>
            <w:r w:rsidRPr="006822A0">
              <w:t>Imported units updated</w:t>
            </w:r>
          </w:p>
        </w:tc>
      </w:tr>
    </w:tbl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AllowPageBreak"/>
      </w:pPr>
    </w:p>
    <w:p w:rsidR="00000000" w:rsidRPr="006822A0" w:rsidRDefault="00F91E24" w:rsidP="006822A0">
      <w:pPr>
        <w:pStyle w:val="Heading1"/>
      </w:pPr>
      <w:bookmarkStart w:id="2" w:name="O_789468"/>
      <w:bookmarkEnd w:id="2"/>
      <w:r w:rsidRPr="006822A0">
        <w:lastRenderedPageBreak/>
        <w:t>Qualification Description</w:t>
      </w:r>
    </w:p>
    <w:p w:rsidR="00000000" w:rsidRPr="006822A0" w:rsidRDefault="00F91E24" w:rsidP="006822A0">
      <w:pPr>
        <w:pStyle w:val="BodyText"/>
      </w:pPr>
      <w:r w:rsidRPr="006822A0">
        <w:t xml:space="preserve">This qualification allows for the attainment of competencies required for independent and self-directed work in the public sector. There may be supervisory </w:t>
      </w:r>
      <w:r w:rsidRPr="006822A0">
        <w:t xml:space="preserve">responsibilities. 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>The generalist qualification is particularly suited to those working in an environment where there are a range of responsibilities which are diverse in nature rather than within a narrow specialisation and/or who work in small or region</w:t>
      </w:r>
      <w:r w:rsidRPr="006822A0">
        <w:t>ally based organisations. Chosen elective units should reflect the responsibilities of the individual.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>The injury management specialisation covers the skills required for working as injury management case manager in the public sector.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>The workplace inspe</w:t>
      </w:r>
      <w:r w:rsidRPr="006822A0">
        <w:t>ction specialisation covers the skills required for those responsible for the conduct of statutory investigation and enforcement requirements under any of the following legislative frameworks: work health and safety, workers’ compensation, injury managemen</w:t>
      </w:r>
      <w:r w:rsidRPr="006822A0">
        <w:t>t or workplace relations.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>The policy development specialisation covers the skills required to develop organisational and public policy within the public sector.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>No licensing, legislative or certification requirements apply to this qualification at the ti</w:t>
      </w:r>
      <w:r w:rsidRPr="006822A0">
        <w:t>me of publication.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rPr>
          <w:rStyle w:val="SpecialBold"/>
        </w:rPr>
        <w:t>Additional qualification advice</w:t>
      </w:r>
    </w:p>
    <w:p w:rsidR="00F91E24" w:rsidRDefault="00F91E24" w:rsidP="006822A0">
      <w:pPr>
        <w:pStyle w:val="BodyText"/>
      </w:pPr>
      <w:r w:rsidRPr="006822A0">
        <w:t xml:space="preserve">Where a defined specialisation is completed as listed below, the resultant testamur can be titled: Diploma of Government (field of study) e.g. Diploma of Government (Injury management). </w:t>
      </w:r>
    </w:p>
    <w:p w:rsidR="00F91E24" w:rsidRDefault="00F91E24" w:rsidP="006822A0">
      <w:pPr>
        <w:pStyle w:val="BodyText"/>
      </w:pPr>
    </w:p>
    <w:p w:rsidR="00000000" w:rsidRPr="006822A0" w:rsidRDefault="00F91E24" w:rsidP="006822A0">
      <w:pPr>
        <w:pStyle w:val="Heading1"/>
      </w:pPr>
      <w:bookmarkStart w:id="3" w:name="O_789470"/>
      <w:bookmarkEnd w:id="3"/>
      <w:r w:rsidRPr="006822A0">
        <w:t>Packaging Rules</w:t>
      </w:r>
    </w:p>
    <w:p w:rsidR="00000000" w:rsidRPr="006822A0" w:rsidRDefault="00F91E24" w:rsidP="006822A0">
      <w:pPr>
        <w:pStyle w:val="BodyText"/>
      </w:pPr>
      <w:r w:rsidRPr="006822A0">
        <w:t>11 units of competency are required for this qualification:</w:t>
      </w:r>
    </w:p>
    <w:p w:rsidR="00000000" w:rsidRPr="006822A0" w:rsidRDefault="00F91E24" w:rsidP="006822A0">
      <w:pPr>
        <w:pStyle w:val="ListBullet"/>
      </w:pPr>
      <w:r w:rsidRPr="006822A0">
        <w:t>4 core units</w:t>
      </w:r>
    </w:p>
    <w:p w:rsidR="00000000" w:rsidRPr="006822A0" w:rsidRDefault="00F91E24" w:rsidP="006822A0">
      <w:pPr>
        <w:pStyle w:val="ListBullet"/>
      </w:pPr>
      <w:r w:rsidRPr="006822A0">
        <w:t>7 elective units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 xml:space="preserve">Choose 1 elective from Group A Work health safety. 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>Generalist:</w:t>
      </w:r>
    </w:p>
    <w:p w:rsidR="00000000" w:rsidRPr="006822A0" w:rsidRDefault="00F91E24" w:rsidP="006822A0">
      <w:pPr>
        <w:pStyle w:val="ListBullet"/>
      </w:pPr>
      <w:r w:rsidRPr="006822A0">
        <w:t xml:space="preserve">a minimum of 4 units from Groups B-E </w:t>
      </w:r>
      <w:r w:rsidRPr="006822A0">
        <w:t>or from elsewhere within this training package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>Choose the remaining electives from the list below or from elsewhere within this training package, or from another endorsed training package, or from an accredited course.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rPr>
          <w:rStyle w:val="SpecialBold"/>
        </w:rPr>
        <w:t>Specialisations</w:t>
      </w:r>
    </w:p>
    <w:p w:rsidR="00000000" w:rsidRPr="006822A0" w:rsidRDefault="00F91E24" w:rsidP="006822A0">
      <w:pPr>
        <w:pStyle w:val="BodyText"/>
      </w:pPr>
      <w:r w:rsidRPr="006822A0">
        <w:t>Injury management s</w:t>
      </w:r>
      <w:r w:rsidRPr="006822A0">
        <w:t>pecialisation:</w:t>
      </w:r>
    </w:p>
    <w:p w:rsidR="00F91E24" w:rsidRDefault="00F91E24" w:rsidP="006822A0">
      <w:pPr>
        <w:pStyle w:val="ListBullet"/>
      </w:pPr>
      <w:r w:rsidRPr="006822A0">
        <w:lastRenderedPageBreak/>
        <w:t>4 units from Group B</w:t>
      </w:r>
    </w:p>
    <w:p w:rsidR="00F91E24" w:rsidRDefault="00F91E24" w:rsidP="006822A0">
      <w:pPr>
        <w:pStyle w:val="ListBullet"/>
      </w:pPr>
    </w:p>
    <w:p w:rsidR="00F91E24" w:rsidRDefault="00F91E24" w:rsidP="006822A0">
      <w:pPr>
        <w:pStyle w:val="BodyText"/>
      </w:pPr>
      <w:r w:rsidRPr="006822A0">
        <w:t>Choose the remaining electives from the list below or from elsewhere within this training package, or from another endorsed training package, or from an accredited course.</w:t>
      </w:r>
    </w:p>
    <w:p w:rsidR="00F91E24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>Workplace inspection specialisation:</w:t>
      </w:r>
    </w:p>
    <w:p w:rsidR="00F91E24" w:rsidRDefault="00F91E24" w:rsidP="006822A0">
      <w:pPr>
        <w:pStyle w:val="ListBullet"/>
      </w:pPr>
      <w:r w:rsidRPr="006822A0">
        <w:t>4 uni</w:t>
      </w:r>
      <w:r w:rsidRPr="006822A0">
        <w:t>ts from Group C</w:t>
      </w:r>
    </w:p>
    <w:p w:rsidR="00F91E24" w:rsidRDefault="00F91E24" w:rsidP="006822A0">
      <w:pPr>
        <w:pStyle w:val="ListBullet"/>
      </w:pPr>
    </w:p>
    <w:p w:rsidR="00F91E24" w:rsidRDefault="00F91E24" w:rsidP="006822A0">
      <w:pPr>
        <w:pStyle w:val="BodyText"/>
      </w:pPr>
      <w:r w:rsidRPr="006822A0">
        <w:t>Choose the remaining electives from the list below or from elsewhere within this training package, or from another endorsed training package, or from an accredited course.</w:t>
      </w:r>
    </w:p>
    <w:p w:rsidR="00F91E24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>Policy development specialisation:</w:t>
      </w:r>
    </w:p>
    <w:p w:rsidR="00F91E24" w:rsidRDefault="00F91E24" w:rsidP="006822A0">
      <w:pPr>
        <w:pStyle w:val="ListBullet"/>
      </w:pPr>
      <w:r w:rsidRPr="006822A0">
        <w:t>4 units from Group D</w:t>
      </w:r>
    </w:p>
    <w:p w:rsidR="00F91E24" w:rsidRDefault="00F91E24" w:rsidP="006822A0">
      <w:pPr>
        <w:pStyle w:val="ListBullet"/>
      </w:pPr>
    </w:p>
    <w:p w:rsidR="00000000" w:rsidRPr="006822A0" w:rsidRDefault="00F91E24" w:rsidP="006822A0">
      <w:pPr>
        <w:pStyle w:val="BodyText"/>
      </w:pPr>
      <w:r w:rsidRPr="006822A0">
        <w:t>Choose the remaining electives from the list below or from elsewhere within this training package, or from another endorsed training package, or from an accredited course.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t>All elective units selected from outside this qualification must reflect the occupa</w:t>
      </w:r>
      <w:r w:rsidRPr="006822A0">
        <w:t>tional learning outcomes of this AQF qualification level. Seek further advice on selecting imported units of competency in the PSP Implementation Guide.</w:t>
      </w:r>
    </w:p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BodyText"/>
      </w:pPr>
      <w:r w:rsidRPr="006822A0">
        <w:rPr>
          <w:rStyle w:val="SpecialBold"/>
        </w:rPr>
        <w:t>Elective units selected must not duplicate content already covered by other units in this qualificatio</w:t>
      </w:r>
      <w:r w:rsidRPr="006822A0">
        <w:rPr>
          <w:rStyle w:val="SpecialBold"/>
        </w:rPr>
        <w:t>n.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6973"/>
      </w:tblGrid>
      <w:tr w:rsidR="006822A0" w:rsidTr="006822A0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rPr>
                <w:rStyle w:val="SpecialBold"/>
              </w:rPr>
              <w:t>Core units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PSPETH003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Promote the values and ethos of public service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PSPGEN047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Promote diversity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PSPGEN054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Use complex workplace communication strategies</w:t>
            </w:r>
          </w:p>
        </w:tc>
      </w:tr>
      <w:tr w:rsidR="00000000" w:rsidRPr="006822A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PSPLEG003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Promote compliance with legislation in the public sector</w:t>
            </w:r>
          </w:p>
        </w:tc>
      </w:tr>
      <w:tr w:rsidR="006822A0" w:rsidRPr="006822A0" w:rsidTr="006822A0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rPr>
                <w:rStyle w:val="SpecialBold"/>
              </w:rPr>
              <w:t>Elective units</w:t>
            </w:r>
          </w:p>
        </w:tc>
      </w:tr>
      <w:tr w:rsidR="006822A0" w:rsidTr="006822A0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rPr>
                <w:rStyle w:val="SpecialBold"/>
              </w:rPr>
              <w:t>Group A: Work health safety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BSBWHS301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Maintain workplace safety</w:t>
            </w:r>
          </w:p>
        </w:tc>
      </w:tr>
      <w:tr w:rsidR="00000000" w:rsidRPr="006822A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BSBWHS401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Implement and monitor WHS policies, procedures and programs to meet legislative requirements</w:t>
            </w:r>
          </w:p>
        </w:tc>
      </w:tr>
      <w:tr w:rsidR="006822A0" w:rsidTr="006822A0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rPr>
                <w:rStyle w:val="SpecialBold"/>
              </w:rPr>
              <w:t>Group B: Injury management specialisation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PSPINM011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Determine liability and negotiate settlements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PSPINM012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Manage case direction and outcomes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PSPINM013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Maintain and monitor service standards</w:t>
            </w:r>
          </w:p>
        </w:tc>
      </w:tr>
      <w:tr w:rsidR="00000000" w:rsidRPr="006822A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PSPINM014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Contribute to a quality injury management system</w:t>
            </w:r>
          </w:p>
        </w:tc>
      </w:tr>
      <w:tr w:rsidR="006822A0" w:rsidTr="006822A0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rPr>
                <w:rStyle w:val="SpecialBold"/>
              </w:rPr>
              <w:t>Group C: Workplace inspection specialisation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PSPWPI001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Evaluate workplace legislative compliance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PSPWPI002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Facilitate improvement in workplace legislative performance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PSPWPI003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Investigate possible breaches of workplace legislation</w:t>
            </w:r>
          </w:p>
        </w:tc>
      </w:tr>
      <w:tr w:rsidR="00000000" w:rsidRPr="006822A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PSPMGT007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Manage risk</w:t>
            </w:r>
          </w:p>
        </w:tc>
      </w:tr>
      <w:tr w:rsidR="006822A0" w:rsidTr="006822A0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rPr>
                <w:rStyle w:val="SpecialBold"/>
              </w:rPr>
              <w:t>Group D: Policy development specialisation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PSPPCY006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Develop organisation policy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PSPPCY007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Advise on organisation policy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PSPPCY008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Develop public policy</w:t>
            </w:r>
          </w:p>
        </w:tc>
      </w:tr>
      <w:tr w:rsidR="00000000" w:rsidRPr="006822A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PSPPCY009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 xml:space="preserve">Provide policy advice </w:t>
            </w:r>
          </w:p>
        </w:tc>
      </w:tr>
      <w:tr w:rsidR="006822A0" w:rsidTr="006822A0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rPr>
                <w:rStyle w:val="SpecialBold"/>
              </w:rPr>
              <w:t>Group E: General elective units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PSPGEN044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Develop client services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PSPGEN045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Coordinate resource allocation and usage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PSPGEN046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Undertake research and analysis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PSPGEN048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Support workplace coaching and mentoring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PSPGEN049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Undertake negotiations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PSPGEN050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Manage conflict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PSPGEN051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Conduct evaluations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PSPGEN052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Undertake and promote career management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PSPGEN053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Provide leadership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PSPGEN055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Refine complex workplace documents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PSPGEN056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Facilitate change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PSPGEN057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Develop and use political nous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PSPGEN058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 xml:space="preserve">Coordinate risk management 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PSPGEN059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Benchmark performance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PSPGEN060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Manage performance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PSPGEN061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Scope statistical data collection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PSPGEN062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Collect statistical data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PSPGEN063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Process statistical data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PSPGEN064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Interrogate and analyse statistical data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PSPGEN065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Interpret data and relat</w:t>
            </w:r>
            <w:r w:rsidRPr="006822A0">
              <w:t>ed statistics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PSPGEN072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Manage compliance with workplace relations legislation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PSPGEN073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Prepare for community engagement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PSPGEN074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Develop and implement community engagement strategies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PSPGEN075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Build and maintain community relationships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PSPGEN077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Apply public sector financial policies and processes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PSPGEN081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Provide public affairs writing and editorial services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PSPGEN082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Coordinate public affairs events and activities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PSPBDR014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Command operational forces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PSPHRM003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Facilitate performance management processes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PSPHRM004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Implement workforce planning and succession strategies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PSPHRM005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Implement staffing policies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PSPHRM006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Coordinate employment relations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PSPHRM007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Coordinate employee support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PSPHRM008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Coordinate car</w:t>
            </w:r>
            <w:r w:rsidRPr="006822A0">
              <w:t>eer development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lastRenderedPageBreak/>
              <w:t>PSPGSD011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Manage the emergent dynamics of government service delivery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PSPGSD012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Provide specialist technical service delivery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PSPLND012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Review planning documents and environmental assessments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PSPREG022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Supervise and carry out complex inspections and monitoring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PSPREG023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Manage plant movement health risk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PSPSCI008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Provide high-level scientific technical support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PSPSCI009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Facilitate innovation and change through extension</w:t>
            </w:r>
          </w:p>
        </w:tc>
      </w:tr>
      <w:tr w:rsidR="0000000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PSPSCI010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Develop and undertak</w:t>
            </w:r>
            <w:r w:rsidRPr="006822A0">
              <w:t>e scientific/technological research</w:t>
            </w:r>
          </w:p>
        </w:tc>
      </w:tr>
      <w:tr w:rsidR="00000000" w:rsidRPr="006822A0" w:rsidTr="00682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F91E24" w:rsidP="006822A0">
            <w:pPr>
              <w:pStyle w:val="BodyText"/>
              <w:rPr>
                <w:lang w:val="en-NZ"/>
              </w:rPr>
            </w:pPr>
            <w:r w:rsidRPr="006822A0">
              <w:t>BSBLDR501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822A0" w:rsidRDefault="00F91E24" w:rsidP="006822A0">
            <w:pPr>
              <w:pStyle w:val="BodyText"/>
            </w:pPr>
            <w:r w:rsidRPr="006822A0">
              <w:t>Develop and use emotional intelligence</w:t>
            </w:r>
          </w:p>
        </w:tc>
      </w:tr>
    </w:tbl>
    <w:p w:rsidR="00000000" w:rsidRPr="006822A0" w:rsidRDefault="00F91E24" w:rsidP="006822A0">
      <w:pPr>
        <w:pStyle w:val="BodyText"/>
      </w:pPr>
    </w:p>
    <w:p w:rsidR="00000000" w:rsidRPr="006822A0" w:rsidRDefault="00F91E24" w:rsidP="006822A0">
      <w:pPr>
        <w:pStyle w:val="AllowPageBreak"/>
      </w:pPr>
    </w:p>
    <w:p w:rsidR="00000000" w:rsidRPr="006822A0" w:rsidRDefault="00F91E24" w:rsidP="006822A0">
      <w:pPr>
        <w:pStyle w:val="Heading1"/>
      </w:pPr>
      <w:bookmarkStart w:id="4" w:name="O_789471"/>
      <w:bookmarkEnd w:id="4"/>
      <w:r w:rsidRPr="006822A0">
        <w:t>Qualification Mapping Information</w:t>
      </w:r>
    </w:p>
    <w:p w:rsidR="00000000" w:rsidRPr="006822A0" w:rsidRDefault="00F91E24" w:rsidP="006822A0">
      <w:pPr>
        <w:pStyle w:val="BodyText"/>
      </w:pPr>
      <w:r w:rsidRPr="006822A0">
        <w:t>This qualification supersedes and is equivalent to PSP50112 Diploma of Government.</w:t>
      </w:r>
    </w:p>
    <w:p w:rsidR="00000000" w:rsidRPr="006822A0" w:rsidRDefault="00F91E24" w:rsidP="006822A0">
      <w:pPr>
        <w:pStyle w:val="AllowPageBreak"/>
      </w:pPr>
    </w:p>
    <w:p w:rsidR="00000000" w:rsidRPr="006822A0" w:rsidRDefault="00F91E24" w:rsidP="006822A0">
      <w:pPr>
        <w:pStyle w:val="Heading1"/>
      </w:pPr>
      <w:bookmarkStart w:id="5" w:name="O_789473"/>
      <w:bookmarkEnd w:id="5"/>
      <w:r w:rsidRPr="006822A0">
        <w:t>Links</w:t>
      </w:r>
    </w:p>
    <w:p w:rsidR="00000000" w:rsidRPr="006822A0" w:rsidRDefault="00F91E24" w:rsidP="006822A0">
      <w:pPr>
        <w:pStyle w:val="BodyText"/>
      </w:pPr>
      <w:r w:rsidRPr="006822A0">
        <w:t>GSA website - http://companion_volumes.vetnet.education.gov.au/Pages/TrainingPackage.aspx?pid=38</w:t>
      </w:r>
    </w:p>
    <w:p w:rsidR="00000000" w:rsidRPr="006822A0" w:rsidRDefault="00F91E24" w:rsidP="006822A0">
      <w:pPr>
        <w:pStyle w:val="BodyText"/>
      </w:pPr>
      <w:r w:rsidRPr="006822A0">
        <w:t>PSP Implementation Guide - http://companion_volumes.vetnet.education.gov.au/Pages/TrainingPackage.aspx?pid=38</w:t>
      </w:r>
    </w:p>
    <w:p w:rsidR="00000000" w:rsidRPr="006822A0" w:rsidRDefault="00F91E24" w:rsidP="006822A0">
      <w:pPr>
        <w:pStyle w:val="BodyText"/>
      </w:pPr>
      <w:r w:rsidRPr="006822A0">
        <w:t>PSP Foundation Skills Guide - http://companion_vo</w:t>
      </w:r>
      <w:r w:rsidRPr="006822A0">
        <w:t>lumes.vetnet.education.gov.au/Pages/TrainingPackage.aspx?pid=38</w:t>
      </w:r>
    </w:p>
    <w:p w:rsidR="00000000" w:rsidRPr="006822A0" w:rsidRDefault="00F91E24" w:rsidP="006822A0">
      <w:pPr>
        <w:pStyle w:val="BodyText"/>
      </w:pPr>
      <w:r w:rsidRPr="006822A0">
        <w:t>PSP Knowledge Guide - http://companion_volumes.vetnet.education.gov.au/Pages/TrainingPackage.aspx?pid=38</w:t>
      </w:r>
    </w:p>
    <w:p w:rsidR="00000000" w:rsidRPr="006822A0" w:rsidRDefault="00F91E24" w:rsidP="006822A0"/>
    <w:sectPr w:rsidR="00000000" w:rsidRPr="006822A0" w:rsidSect="006822A0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A0" w:rsidRDefault="006822A0" w:rsidP="006822A0">
      <w:r>
        <w:separator/>
      </w:r>
    </w:p>
  </w:endnote>
  <w:endnote w:type="continuationSeparator" w:id="0">
    <w:p w:rsidR="006822A0" w:rsidRDefault="006822A0" w:rsidP="0068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A0" w:rsidRDefault="006822A0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A0" w:rsidRPr="00F91E24" w:rsidRDefault="006822A0" w:rsidP="00F91E24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A0" w:rsidRDefault="006822A0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24" w:rsidRDefault="00F91E24" w:rsidP="006822A0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5</w:t>
      </w:r>
    </w:fldSimple>
  </w:p>
  <w:p w:rsidR="00F91E24" w:rsidRDefault="00F91E24" w:rsidP="006822A0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2016</w:t>
    </w:r>
    <w:r>
      <w:fldChar w:fldCharType="end"/>
    </w:r>
    <w:r>
      <w:tab/>
    </w:r>
    <w:fldSimple w:instr=" DOCPROPERTY  Author  \* MERGEFORMAT ">
      <w:r>
        <w:t>Government Skills Australia</w:t>
      </w:r>
    </w:fldSimple>
  </w:p>
  <w:p w:rsidR="00F91E24" w:rsidRDefault="00F91E24" w:rsidP="006822A0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A0" w:rsidRDefault="006822A0" w:rsidP="006822A0">
      <w:r>
        <w:separator/>
      </w:r>
    </w:p>
  </w:footnote>
  <w:footnote w:type="continuationSeparator" w:id="0">
    <w:p w:rsidR="006822A0" w:rsidRDefault="006822A0" w:rsidP="0068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A0" w:rsidRDefault="006822A0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A0" w:rsidRPr="00F91E24" w:rsidRDefault="00F91E24" w:rsidP="00F91E24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D10B02C" wp14:editId="644376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A0" w:rsidRDefault="006822A0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24" w:rsidRPr="002D2AF8" w:rsidRDefault="00F91E24" w:rsidP="006822A0">
    <w:pPr>
      <w:pStyle w:val="Header"/>
      <w:framePr w:wrap="around"/>
    </w:pPr>
    <w:fldSimple w:instr=" TITLE   \* MERGEFORMAT ">
      <w:r>
        <w:t>PSP50116 Diploma of Government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30 March 2016</w:t>
    </w:r>
    <w:r>
      <w:fldChar w:fldCharType="end"/>
    </w:r>
  </w:p>
  <w:p w:rsidR="00F91E24" w:rsidRDefault="00F91E24" w:rsidP="006822A0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5CC2D560"/>
    <w:lvl w:ilvl="0">
      <w:start w:val="1"/>
      <w:numFmt w:val="bullet"/>
      <w:pStyle w:val="ListBullet4"/>
      <w:lvlText w:val="•"/>
      <w:lvlJc w:val="left"/>
      <w:pPr>
        <w:ind w:left="1381" w:hanging="360"/>
      </w:pPr>
      <w:rPr>
        <w:rFonts w:ascii="Times New Roman" w:hAnsi="Times New Roman" w:cs="Times New Roman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458452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572EF1D4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22A0"/>
    <w:rsid w:val="006822A0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0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6822A0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6822A0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6822A0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6822A0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6822A0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6822A0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6822A0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6822A0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822A0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6822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22A0"/>
  </w:style>
  <w:style w:type="character" w:customStyle="1" w:styleId="Heading1Char">
    <w:name w:val="Heading 1 Char"/>
    <w:basedOn w:val="DefaultParagraphFont"/>
    <w:link w:val="Heading1"/>
    <w:rsid w:val="006822A0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6822A0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6822A0"/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List"/>
    <w:rsid w:val="006822A0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6822A0"/>
    <w:rPr>
      <w:b/>
      <w:spacing w:val="0"/>
    </w:rPr>
  </w:style>
  <w:style w:type="paragraph" w:customStyle="1" w:styleId="SuperHeading">
    <w:name w:val="SuperHeading"/>
    <w:basedOn w:val="Normal"/>
    <w:rsid w:val="006822A0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TableHeading">
    <w:name w:val="Table Heading"/>
    <w:basedOn w:val="HeadingBase"/>
    <w:rsid w:val="006822A0"/>
    <w:pPr>
      <w:keepLines/>
      <w:pBdr>
        <w:bottom w:val="single" w:sz="6" w:space="1" w:color="918585"/>
      </w:pBdr>
      <w:spacing w:before="240"/>
    </w:pPr>
  </w:style>
  <w:style w:type="paragraph" w:customStyle="1" w:styleId="AllowPageBreak">
    <w:name w:val="AllowPageBreak"/>
    <w:rsid w:val="006822A0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822A0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6822A0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822A0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822A0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822A0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822A0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822A0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822A0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6822A0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6822A0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6822A0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6822A0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6822A0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6822A0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6822A0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6822A0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6822A0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6822A0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6822A0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6822A0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6822A0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6822A0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6822A0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6822A0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6822A0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6822A0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6822A0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6822A0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6822A0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6822A0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6822A0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6822A0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6822A0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6822A0"/>
    <w:rPr>
      <w:i/>
    </w:rPr>
  </w:style>
  <w:style w:type="paragraph" w:styleId="Caption">
    <w:name w:val="caption"/>
    <w:basedOn w:val="BodyText"/>
    <w:next w:val="Normal"/>
    <w:qFormat/>
    <w:rsid w:val="006822A0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6822A0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6822A0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6822A0"/>
  </w:style>
  <w:style w:type="paragraph" w:styleId="TableofFigures">
    <w:name w:val="table of figures"/>
    <w:basedOn w:val="Normal"/>
    <w:next w:val="Normal"/>
    <w:semiHidden/>
    <w:rsid w:val="006822A0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6822A0"/>
    <w:pPr>
      <w:numPr>
        <w:numId w:val="10"/>
      </w:numPr>
    </w:pPr>
  </w:style>
  <w:style w:type="character" w:customStyle="1" w:styleId="WingdingSymbols">
    <w:name w:val="Wingding Symbols"/>
    <w:rsid w:val="006822A0"/>
    <w:rPr>
      <w:rFonts w:ascii="Wingdings" w:hAnsi="Wingdings"/>
    </w:rPr>
  </w:style>
  <w:style w:type="character" w:customStyle="1" w:styleId="HotSpot">
    <w:name w:val="HotSpot"/>
    <w:rsid w:val="006822A0"/>
    <w:rPr>
      <w:color w:val="0033CC"/>
      <w:u w:val="none"/>
    </w:rPr>
  </w:style>
  <w:style w:type="paragraph" w:customStyle="1" w:styleId="BodyTextRight">
    <w:name w:val="Body Text Right"/>
    <w:basedOn w:val="BodyText"/>
    <w:rsid w:val="006822A0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6822A0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6822A0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6822A0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6822A0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6822A0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6822A0"/>
    <w:rPr>
      <w:sz w:val="32"/>
    </w:rPr>
  </w:style>
  <w:style w:type="paragraph" w:customStyle="1" w:styleId="HeadingProcedure">
    <w:name w:val="Heading Procedure"/>
    <w:basedOn w:val="HeadingBase"/>
    <w:next w:val="Normal"/>
    <w:rsid w:val="006822A0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6822A0"/>
    <w:pPr>
      <w:spacing w:before="60" w:after="60"/>
    </w:pPr>
  </w:style>
  <w:style w:type="paragraph" w:styleId="ListContinue">
    <w:name w:val="List Continue"/>
    <w:basedOn w:val="List"/>
    <w:rsid w:val="006822A0"/>
    <w:pPr>
      <w:ind w:firstLine="0"/>
    </w:pPr>
  </w:style>
  <w:style w:type="paragraph" w:customStyle="1" w:styleId="ListNote">
    <w:name w:val="List Note"/>
    <w:basedOn w:val="List"/>
    <w:rsid w:val="006822A0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6822A0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6822A0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6822A0"/>
    <w:rPr>
      <w:rFonts w:ascii="Courier New" w:hAnsi="Courier New"/>
    </w:rPr>
  </w:style>
  <w:style w:type="paragraph" w:customStyle="1" w:styleId="NoteBullet">
    <w:name w:val="Note Bullet"/>
    <w:basedOn w:val="Note"/>
    <w:rsid w:val="006822A0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6822A0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6822A0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6822A0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6822A0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6822A0"/>
    <w:rPr>
      <w:sz w:val="20"/>
    </w:rPr>
  </w:style>
  <w:style w:type="character" w:customStyle="1" w:styleId="PlainTextChar">
    <w:name w:val="Plain Text Char"/>
    <w:basedOn w:val="DefaultParagraphFont"/>
    <w:link w:val="PlainText"/>
    <w:rsid w:val="006822A0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6822A0"/>
    <w:rPr>
      <w:b/>
      <w:smallCaps/>
    </w:rPr>
  </w:style>
  <w:style w:type="paragraph" w:customStyle="1" w:styleId="TableListNumber">
    <w:name w:val="Table List Number"/>
    <w:basedOn w:val="ListNumber"/>
    <w:rsid w:val="006822A0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6822A0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6822A0"/>
    <w:pPr>
      <w:numPr>
        <w:numId w:val="8"/>
      </w:numPr>
    </w:pPr>
  </w:style>
  <w:style w:type="paragraph" w:customStyle="1" w:styleId="ListAlpha2">
    <w:name w:val="List Alpha 2"/>
    <w:basedOn w:val="List2"/>
    <w:rsid w:val="006822A0"/>
    <w:pPr>
      <w:numPr>
        <w:numId w:val="7"/>
      </w:numPr>
    </w:pPr>
  </w:style>
  <w:style w:type="paragraph" w:styleId="List2">
    <w:name w:val="List 2"/>
    <w:basedOn w:val="BodyText"/>
    <w:rsid w:val="006822A0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6822A0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6822A0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6822A0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6822A0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6822A0"/>
    <w:pPr>
      <w:numPr>
        <w:numId w:val="2"/>
      </w:numPr>
      <w:tabs>
        <w:tab w:val="clear" w:pos="1361"/>
      </w:tabs>
    </w:pPr>
  </w:style>
  <w:style w:type="paragraph" w:styleId="ListBullet5">
    <w:name w:val="List Bullet 5"/>
    <w:basedOn w:val="List5"/>
    <w:rsid w:val="006822A0"/>
    <w:pPr>
      <w:numPr>
        <w:numId w:val="3"/>
      </w:numPr>
    </w:pPr>
  </w:style>
  <w:style w:type="paragraph" w:styleId="ListContinue2">
    <w:name w:val="List Continue 2"/>
    <w:basedOn w:val="List2"/>
    <w:rsid w:val="006822A0"/>
    <w:pPr>
      <w:ind w:firstLine="0"/>
    </w:pPr>
  </w:style>
  <w:style w:type="paragraph" w:styleId="ListContinue3">
    <w:name w:val="List Continue 3"/>
    <w:basedOn w:val="List3"/>
    <w:rsid w:val="006822A0"/>
    <w:pPr>
      <w:ind w:left="1021" w:firstLine="0"/>
    </w:pPr>
  </w:style>
  <w:style w:type="paragraph" w:styleId="ListContinue4">
    <w:name w:val="List Continue 4"/>
    <w:basedOn w:val="List4"/>
    <w:rsid w:val="006822A0"/>
    <w:pPr>
      <w:ind w:firstLine="0"/>
    </w:pPr>
  </w:style>
  <w:style w:type="paragraph" w:styleId="ListContinue5">
    <w:name w:val="List Continue 5"/>
    <w:basedOn w:val="List5"/>
    <w:rsid w:val="006822A0"/>
    <w:pPr>
      <w:ind w:firstLine="0"/>
    </w:pPr>
  </w:style>
  <w:style w:type="paragraph" w:styleId="ListNumber3">
    <w:name w:val="List Number 3"/>
    <w:basedOn w:val="List3"/>
    <w:rsid w:val="006822A0"/>
    <w:pPr>
      <w:numPr>
        <w:numId w:val="4"/>
      </w:numPr>
    </w:pPr>
  </w:style>
  <w:style w:type="paragraph" w:styleId="ListNumber4">
    <w:name w:val="List Number 4"/>
    <w:basedOn w:val="List4"/>
    <w:rsid w:val="006822A0"/>
    <w:pPr>
      <w:numPr>
        <w:numId w:val="5"/>
      </w:numPr>
    </w:pPr>
  </w:style>
  <w:style w:type="paragraph" w:styleId="ListNumber5">
    <w:name w:val="List Number 5"/>
    <w:basedOn w:val="List5"/>
    <w:rsid w:val="006822A0"/>
    <w:pPr>
      <w:numPr>
        <w:numId w:val="6"/>
      </w:numPr>
    </w:pPr>
  </w:style>
  <w:style w:type="paragraph" w:styleId="BlockText">
    <w:name w:val="Block Text"/>
    <w:basedOn w:val="Normal"/>
    <w:rsid w:val="006822A0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6822A0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6822A0"/>
    <w:rPr>
      <w:sz w:val="16"/>
      <w:vertAlign w:val="superscript"/>
    </w:rPr>
  </w:style>
  <w:style w:type="character" w:customStyle="1" w:styleId="Symbols">
    <w:name w:val="Symbols"/>
    <w:basedOn w:val="DefaultParagraphFont"/>
    <w:rsid w:val="006822A0"/>
    <w:rPr>
      <w:rFonts w:ascii="Symbol" w:hAnsi="Symbol"/>
    </w:rPr>
  </w:style>
  <w:style w:type="character" w:customStyle="1" w:styleId="MenuOptions">
    <w:name w:val="Menu Options"/>
    <w:basedOn w:val="DefaultParagraphFont"/>
    <w:rsid w:val="006822A0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6822A0"/>
    <w:rPr>
      <w:b/>
    </w:rPr>
  </w:style>
  <w:style w:type="character" w:customStyle="1" w:styleId="Underlined">
    <w:name w:val="Underlined"/>
    <w:basedOn w:val="DefaultParagraphFont"/>
    <w:rsid w:val="006822A0"/>
    <w:rPr>
      <w:u w:val="single"/>
    </w:rPr>
  </w:style>
  <w:style w:type="paragraph" w:customStyle="1" w:styleId="TableBodyTextRight">
    <w:name w:val="Table Body Text Right"/>
    <w:basedOn w:val="TableBodyText"/>
    <w:rsid w:val="006822A0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6822A0"/>
    <w:rPr>
      <w:sz w:val="18"/>
    </w:rPr>
  </w:style>
  <w:style w:type="paragraph" w:customStyle="1" w:styleId="BodySmallRight">
    <w:name w:val="Body Small Right"/>
    <w:basedOn w:val="BodyTextRight"/>
    <w:rsid w:val="006822A0"/>
    <w:rPr>
      <w:sz w:val="18"/>
      <w:szCs w:val="18"/>
    </w:rPr>
  </w:style>
  <w:style w:type="paragraph" w:customStyle="1" w:styleId="MarginEdition">
    <w:name w:val="Margin Edition"/>
    <w:basedOn w:val="MarginNote"/>
    <w:rsid w:val="006822A0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6822A0"/>
    <w:rPr>
      <w:sz w:val="2"/>
      <w:szCs w:val="2"/>
    </w:rPr>
  </w:style>
  <w:style w:type="character" w:customStyle="1" w:styleId="Small">
    <w:name w:val="Small"/>
    <w:basedOn w:val="DefaultParagraphFont"/>
    <w:rsid w:val="006822A0"/>
    <w:rPr>
      <w:sz w:val="16"/>
    </w:rPr>
  </w:style>
  <w:style w:type="paragraph" w:customStyle="1" w:styleId="WideTable">
    <w:name w:val="Wide Table"/>
    <w:basedOn w:val="Normal"/>
    <w:rsid w:val="006822A0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6822A0"/>
  </w:style>
  <w:style w:type="paragraph" w:styleId="Quote">
    <w:name w:val="Quote"/>
    <w:basedOn w:val="Heading1"/>
    <w:link w:val="QuoteChar"/>
    <w:qFormat/>
    <w:rsid w:val="006822A0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6822A0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6822A0"/>
    <w:pPr>
      <w:pageBreakBefore/>
    </w:pPr>
  </w:style>
  <w:style w:type="paragraph" w:customStyle="1" w:styleId="Border">
    <w:name w:val="Border"/>
    <w:basedOn w:val="Normal"/>
    <w:qFormat/>
    <w:rsid w:val="006822A0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6822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2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2A0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6822A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822A0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6822A0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6822A0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6822A0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6822A0"/>
    <w:rPr>
      <w:u w:val="single"/>
    </w:rPr>
  </w:style>
  <w:style w:type="character" w:customStyle="1" w:styleId="BoldandItalics">
    <w:name w:val="Bold and Italics"/>
    <w:qFormat/>
    <w:rsid w:val="006822A0"/>
    <w:rPr>
      <w:b/>
      <w:i/>
      <w:u w:val="none"/>
    </w:rPr>
  </w:style>
  <w:style w:type="paragraph" w:styleId="BalloonText">
    <w:name w:val="Balloon Text"/>
    <w:basedOn w:val="Normal"/>
    <w:link w:val="BalloonTextChar"/>
    <w:rsid w:val="0068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2A0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6822A0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6822A0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6822A0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6822A0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6124</Characters>
  <Application>Microsoft Office Word</Application>
  <DocSecurity>0</DocSecurity>
  <Lines>228</Lines>
  <Paragraphs>176</Paragraphs>
  <ScaleCrop>false</ScaleCrop>
  <Company>Author-it Software Corporation Ltd.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PSP50116 Diploma of Government</dc:title>
  <dc:subject>Approved</dc:subject>
  <dc:creator>Government Skills Australia</dc:creator>
  <cp:keywords>Release: 1</cp:keywords>
  <dc:description>Review Date: 12 April 2008</dc:description>
  <cp:lastModifiedBy>TPCMS</cp:lastModifiedBy>
  <cp:revision>3</cp:revision>
  <dcterms:created xsi:type="dcterms:W3CDTF">2016-03-30T06:09:00Z</dcterms:created>
  <dcterms:modified xsi:type="dcterms:W3CDTF">2016-03-30T06:09:00Z</dcterms:modified>
</cp:coreProperties>
</file>