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E4F" w:rsidRDefault="00DA5E4F" w:rsidP="00DA5E4F">
      <w:pPr>
        <w:pStyle w:val="Title"/>
      </w:pPr>
      <w:fldSimple w:instr=" TITLE   \* MERGEFORMAT ">
        <w:r>
          <w:t>MSFBA3003 Install timber shutters</w:t>
        </w:r>
      </w:fldSimple>
    </w:p>
    <w:p w:rsidR="00DA5E4F" w:rsidRDefault="00DA5E4F" w:rsidP="00DA5E4F">
      <w:pPr>
        <w:pStyle w:val="Version"/>
        <w:sectPr w:rsidR="00DA5E4F" w:rsidSect="001E342C">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1</w:t>
        </w:r>
      </w:fldSimple>
    </w:p>
    <w:p w:rsidR="00000000" w:rsidRPr="001E342C" w:rsidRDefault="00DA5E4F" w:rsidP="001E342C">
      <w:pPr>
        <w:pStyle w:val="SuperHeading"/>
      </w:pPr>
      <w:r w:rsidRPr="001E342C">
        <w:lastRenderedPageBreak/>
        <w:t>MSFBA3003 Install timber shutters</w:t>
      </w:r>
    </w:p>
    <w:p w:rsidR="00000000" w:rsidRPr="001E342C" w:rsidRDefault="00DA5E4F" w:rsidP="001E342C">
      <w:pPr>
        <w:pStyle w:val="Heading1"/>
      </w:pPr>
      <w:bookmarkStart w:id="1" w:name="O_630085"/>
      <w:bookmarkEnd w:id="1"/>
      <w:r w:rsidRPr="001E342C">
        <w:t>Modification History</w:t>
      </w:r>
    </w:p>
    <w:p w:rsidR="00000000" w:rsidRPr="001E342C" w:rsidRDefault="00DA5E4F" w:rsidP="001E342C">
      <w:pPr>
        <w:pStyle w:val="BodyText"/>
      </w:pPr>
      <w:r w:rsidRPr="001E342C">
        <w:t>Release 1 - New unit of competency</w:t>
      </w:r>
    </w:p>
    <w:p w:rsidR="00000000" w:rsidRPr="001E342C" w:rsidRDefault="00DA5E4F" w:rsidP="001E342C">
      <w:pPr>
        <w:pStyle w:val="AllowPageBreak"/>
      </w:pPr>
    </w:p>
    <w:p w:rsidR="00000000" w:rsidRPr="001E342C" w:rsidRDefault="00DA5E4F" w:rsidP="001E342C">
      <w:pPr>
        <w:pStyle w:val="Heading1"/>
      </w:pPr>
      <w:bookmarkStart w:id="2" w:name="O_630093"/>
      <w:bookmarkEnd w:id="2"/>
      <w:r w:rsidRPr="001E342C">
        <w:t>Application</w:t>
      </w:r>
    </w:p>
    <w:p w:rsidR="00000000" w:rsidRPr="001E342C" w:rsidRDefault="00DA5E4F" w:rsidP="001E342C">
      <w:pPr>
        <w:pStyle w:val="BodyText"/>
      </w:pPr>
      <w:r w:rsidRPr="001E342C">
        <w:t>This unit of competency covers installation of timber shutters. It applies in an on-site residential or commercial environment.</w:t>
      </w:r>
    </w:p>
    <w:p w:rsidR="00000000" w:rsidRPr="001E342C" w:rsidRDefault="00DA5E4F" w:rsidP="001E342C">
      <w:pPr>
        <w:pStyle w:val="BodyText"/>
      </w:pPr>
    </w:p>
    <w:p w:rsidR="00000000" w:rsidRPr="001E342C" w:rsidRDefault="00DA5E4F" w:rsidP="001E342C">
      <w:pPr>
        <w:pStyle w:val="BodyText"/>
      </w:pPr>
      <w:r w:rsidRPr="001E342C">
        <w:t>No licensing, legislative or certification</w:t>
      </w:r>
      <w:r w:rsidRPr="001E342C">
        <w:t xml:space="preserve"> requirements apply to this unit at the time of publication.</w:t>
      </w:r>
    </w:p>
    <w:p w:rsidR="00000000" w:rsidRPr="001E342C" w:rsidRDefault="00DA5E4F" w:rsidP="001E342C">
      <w:pPr>
        <w:pStyle w:val="AllowPageBreak"/>
      </w:pPr>
    </w:p>
    <w:p w:rsidR="00000000" w:rsidRPr="001E342C" w:rsidRDefault="00DA5E4F" w:rsidP="001E342C">
      <w:pPr>
        <w:pStyle w:val="Heading1"/>
      </w:pPr>
      <w:bookmarkStart w:id="3" w:name="O_630092"/>
      <w:bookmarkEnd w:id="3"/>
      <w:r w:rsidRPr="001E342C">
        <w:t>Pre-requisite Unit</w:t>
      </w:r>
    </w:p>
    <w:p w:rsidR="00000000" w:rsidRPr="001E342C" w:rsidRDefault="00DA5E4F" w:rsidP="001E342C">
      <w:pPr>
        <w:pStyle w:val="Heading1"/>
      </w:pPr>
      <w:bookmarkStart w:id="4" w:name="O_630091"/>
      <w:bookmarkEnd w:id="4"/>
      <w:r w:rsidRPr="001E342C">
        <w:t>Competency Field</w:t>
      </w:r>
    </w:p>
    <w:p w:rsidR="00000000" w:rsidRPr="001E342C" w:rsidRDefault="00DA5E4F" w:rsidP="001E342C">
      <w:pPr>
        <w:pStyle w:val="Heading1"/>
      </w:pPr>
      <w:bookmarkStart w:id="5" w:name="O_630090"/>
      <w:bookmarkEnd w:id="5"/>
      <w:r w:rsidRPr="001E342C">
        <w:t>Unit Sector</w:t>
      </w:r>
    </w:p>
    <w:p w:rsidR="00000000" w:rsidRPr="001E342C" w:rsidRDefault="00DA5E4F" w:rsidP="001E342C">
      <w:pPr>
        <w:pStyle w:val="BodyText"/>
      </w:pPr>
      <w:r w:rsidRPr="001E342C">
        <w:t>Blinds and awnings</w:t>
      </w:r>
    </w:p>
    <w:p w:rsidR="00000000" w:rsidRPr="001E342C" w:rsidRDefault="00DA5E4F" w:rsidP="001E342C">
      <w:pPr>
        <w:pStyle w:val="AllowPageBreak"/>
      </w:pPr>
    </w:p>
    <w:p w:rsidR="00000000" w:rsidRPr="001E342C" w:rsidRDefault="00DA5E4F" w:rsidP="001E342C">
      <w:pPr>
        <w:pStyle w:val="Heading1"/>
      </w:pPr>
      <w:bookmarkStart w:id="6" w:name="O_630089"/>
      <w:bookmarkEnd w:id="6"/>
      <w:r w:rsidRPr="001E342C">
        <w:t>Elements and Performance Criteria</w:t>
      </w:r>
    </w:p>
    <w:tbl>
      <w:tblPr>
        <w:tblW w:w="0" w:type="auto"/>
        <w:tblLayout w:type="fixed"/>
        <w:tblCellMar>
          <w:left w:w="62" w:type="dxa"/>
          <w:right w:w="62" w:type="dxa"/>
        </w:tblCellMar>
        <w:tblLook w:val="0000" w:firstRow="0" w:lastRow="0" w:firstColumn="0" w:lastColumn="0" w:noHBand="0" w:noVBand="0"/>
      </w:tblPr>
      <w:tblGrid>
        <w:gridCol w:w="678"/>
        <w:gridCol w:w="1962"/>
        <w:gridCol w:w="770"/>
        <w:gridCol w:w="5610"/>
      </w:tblGrid>
      <w:tr w:rsidR="001E342C" w:rsidTr="001E342C">
        <w:tc>
          <w:tcPr>
            <w:tcW w:w="2640" w:type="dxa"/>
            <w:gridSpan w:val="2"/>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Elements describe the essent</w:t>
            </w:r>
            <w:r w:rsidRPr="001E342C">
              <w:t>ial outcomes.</w:t>
            </w:r>
          </w:p>
        </w:tc>
        <w:tc>
          <w:tcPr>
            <w:tcW w:w="6380" w:type="dxa"/>
            <w:gridSpan w:val="2"/>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Performance criteria describe the performance needed to demonstrate achievement of the element.</w:t>
            </w:r>
          </w:p>
        </w:tc>
      </w:tr>
      <w:tr w:rsidR="00000000" w:rsidTr="001E342C">
        <w:tc>
          <w:tcPr>
            <w:tcW w:w="678" w:type="dxa"/>
            <w:vMerge w:val="restart"/>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1</w:t>
            </w:r>
          </w:p>
        </w:tc>
        <w:tc>
          <w:tcPr>
            <w:tcW w:w="1962" w:type="dxa"/>
            <w:vMerge w:val="restart"/>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Identify products, fittings and attachments for installation</w:t>
            </w:r>
          </w:p>
        </w:tc>
        <w:tc>
          <w:tcPr>
            <w:tcW w:w="77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1.1</w:t>
            </w:r>
          </w:p>
        </w:tc>
        <w:tc>
          <w:tcPr>
            <w:tcW w:w="561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Type of timber shutter to be installed is identified</w:t>
            </w:r>
          </w:p>
        </w:tc>
      </w:tr>
      <w:tr w:rsidR="00000000" w:rsidTr="001E342C">
        <w:tc>
          <w:tcPr>
            <w:tcW w:w="678"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1.2</w:t>
            </w:r>
          </w:p>
        </w:tc>
        <w:tc>
          <w:tcPr>
            <w:tcW w:w="561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Installation hardware, tools and equipment are identified from work instructions and site inspection conducted in consultation with customer</w:t>
            </w:r>
          </w:p>
        </w:tc>
      </w:tr>
      <w:tr w:rsidR="00000000" w:rsidTr="001E342C">
        <w:tc>
          <w:tcPr>
            <w:tcW w:w="678"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1.3</w:t>
            </w:r>
          </w:p>
        </w:tc>
        <w:tc>
          <w:tcPr>
            <w:tcW w:w="561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Customer is consulted to determine day and time for installation</w:t>
            </w:r>
          </w:p>
        </w:tc>
      </w:tr>
      <w:tr w:rsidR="00000000" w:rsidTr="001E342C">
        <w:tc>
          <w:tcPr>
            <w:tcW w:w="678" w:type="dxa"/>
            <w:vMerge w:val="restart"/>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2</w:t>
            </w:r>
          </w:p>
        </w:tc>
        <w:tc>
          <w:tcPr>
            <w:tcW w:w="1962" w:type="dxa"/>
            <w:vMerge w:val="restart"/>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Plan installation process</w:t>
            </w:r>
          </w:p>
        </w:tc>
        <w:tc>
          <w:tcPr>
            <w:tcW w:w="77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2.1</w:t>
            </w:r>
          </w:p>
        </w:tc>
        <w:tc>
          <w:tcPr>
            <w:tcW w:w="561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Work health and safety (WHS) requirements and personal protection needs are observed throughout the work</w:t>
            </w:r>
          </w:p>
        </w:tc>
      </w:tr>
      <w:tr w:rsidR="00000000" w:rsidTr="001E342C">
        <w:tc>
          <w:tcPr>
            <w:tcW w:w="678"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2.2</w:t>
            </w:r>
          </w:p>
        </w:tc>
        <w:tc>
          <w:tcPr>
            <w:tcW w:w="561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Work order is read and interpreted and work sequence is planned in a logical order to suit job</w:t>
            </w:r>
          </w:p>
        </w:tc>
      </w:tr>
      <w:tr w:rsidR="00000000" w:rsidTr="001E342C">
        <w:tc>
          <w:tcPr>
            <w:tcW w:w="678"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2.3</w:t>
            </w:r>
          </w:p>
        </w:tc>
        <w:tc>
          <w:tcPr>
            <w:tcW w:w="561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Worksite is checked to determine access and special equipment requirements</w:t>
            </w:r>
          </w:p>
        </w:tc>
      </w:tr>
      <w:tr w:rsidR="00000000" w:rsidTr="001E342C">
        <w:tc>
          <w:tcPr>
            <w:tcW w:w="678"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2.4</w:t>
            </w:r>
          </w:p>
        </w:tc>
        <w:tc>
          <w:tcPr>
            <w:tcW w:w="561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Product to be installed is laid out and checked against work order</w:t>
            </w:r>
          </w:p>
        </w:tc>
      </w:tr>
      <w:tr w:rsidR="00000000" w:rsidTr="001E342C">
        <w:tc>
          <w:tcPr>
            <w:tcW w:w="678"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2.5</w:t>
            </w:r>
          </w:p>
        </w:tc>
        <w:tc>
          <w:tcPr>
            <w:tcW w:w="561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Product to be installed is protected and transported to worksite without damage</w:t>
            </w:r>
          </w:p>
        </w:tc>
      </w:tr>
      <w:tr w:rsidR="00000000" w:rsidTr="001E342C">
        <w:tc>
          <w:tcPr>
            <w:tcW w:w="678" w:type="dxa"/>
            <w:vMerge w:val="restart"/>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3</w:t>
            </w:r>
          </w:p>
        </w:tc>
        <w:tc>
          <w:tcPr>
            <w:tcW w:w="1962" w:type="dxa"/>
            <w:vMerge w:val="restart"/>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Install timber sh</w:t>
            </w:r>
            <w:r w:rsidRPr="001E342C">
              <w:t>utters</w:t>
            </w:r>
          </w:p>
        </w:tc>
        <w:tc>
          <w:tcPr>
            <w:tcW w:w="77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3.1</w:t>
            </w:r>
          </w:p>
        </w:tc>
        <w:tc>
          <w:tcPr>
            <w:tcW w:w="561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Public and property is protected, if necessary, and fixing hardware is installed to manufacturer specifications</w:t>
            </w:r>
          </w:p>
        </w:tc>
      </w:tr>
      <w:tr w:rsidR="00000000" w:rsidTr="001E342C">
        <w:tc>
          <w:tcPr>
            <w:tcW w:w="678"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3.2</w:t>
            </w:r>
          </w:p>
        </w:tc>
        <w:tc>
          <w:tcPr>
            <w:tcW w:w="561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Timber shutter is installed to manufacturer specifications</w:t>
            </w:r>
          </w:p>
        </w:tc>
      </w:tr>
      <w:tr w:rsidR="00000000" w:rsidTr="001E342C">
        <w:tc>
          <w:tcPr>
            <w:tcW w:w="678" w:type="dxa"/>
            <w:vMerge w:val="restart"/>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4</w:t>
            </w:r>
          </w:p>
        </w:tc>
        <w:tc>
          <w:tcPr>
            <w:tcW w:w="1962" w:type="dxa"/>
            <w:vMerge w:val="restart"/>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Complete the installation</w:t>
            </w:r>
          </w:p>
        </w:tc>
        <w:tc>
          <w:tcPr>
            <w:tcW w:w="77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4.1</w:t>
            </w:r>
          </w:p>
        </w:tc>
        <w:tc>
          <w:tcPr>
            <w:tcW w:w="561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Operation of product is tested within limitations of normal operation and adjusted if necessary</w:t>
            </w:r>
          </w:p>
        </w:tc>
      </w:tr>
      <w:tr w:rsidR="00000000" w:rsidTr="001E342C">
        <w:tc>
          <w:tcPr>
            <w:tcW w:w="678"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4.2</w:t>
            </w:r>
          </w:p>
        </w:tc>
        <w:tc>
          <w:tcPr>
            <w:tcW w:w="561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Customer is shown correct use of product</w:t>
            </w:r>
          </w:p>
        </w:tc>
      </w:tr>
      <w:tr w:rsidR="00000000" w:rsidTr="001E342C">
        <w:tc>
          <w:tcPr>
            <w:tcW w:w="678" w:type="dxa"/>
            <w:vMerge w:val="restart"/>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5</w:t>
            </w:r>
          </w:p>
        </w:tc>
        <w:tc>
          <w:tcPr>
            <w:tcW w:w="1962" w:type="dxa"/>
            <w:vMerge w:val="restart"/>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Clean work area</w:t>
            </w:r>
          </w:p>
        </w:tc>
        <w:tc>
          <w:tcPr>
            <w:tcW w:w="77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5.1</w:t>
            </w:r>
          </w:p>
        </w:tc>
        <w:tc>
          <w:tcPr>
            <w:tcW w:w="561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Tools and equipment are cleaned and stored according to workplace practices</w:t>
            </w:r>
          </w:p>
        </w:tc>
      </w:tr>
      <w:tr w:rsidR="00000000" w:rsidTr="001E342C">
        <w:tc>
          <w:tcPr>
            <w:tcW w:w="678"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5.2</w:t>
            </w:r>
          </w:p>
        </w:tc>
        <w:tc>
          <w:tcPr>
            <w:tcW w:w="561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Work area is cleaned and left in a safe condition</w:t>
            </w:r>
          </w:p>
        </w:tc>
      </w:tr>
      <w:tr w:rsidR="00000000" w:rsidTr="001E342C">
        <w:tc>
          <w:tcPr>
            <w:tcW w:w="678"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5.3</w:t>
            </w:r>
          </w:p>
        </w:tc>
        <w:tc>
          <w:tcPr>
            <w:tcW w:w="561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Waste and scrap are removed and disposed of in accordance with workplace practices and environmental legislation covering disposal of industrial waste or recycled, as appropriate, following workplace</w:t>
            </w:r>
            <w:r w:rsidRPr="001E342C">
              <w:t xml:space="preserve"> practices</w:t>
            </w:r>
          </w:p>
        </w:tc>
      </w:tr>
      <w:tr w:rsidR="00000000" w:rsidTr="001E342C">
        <w:tc>
          <w:tcPr>
            <w:tcW w:w="678" w:type="dxa"/>
            <w:vMerge w:val="restart"/>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6</w:t>
            </w:r>
          </w:p>
        </w:tc>
        <w:tc>
          <w:tcPr>
            <w:tcW w:w="1962" w:type="dxa"/>
            <w:vMerge w:val="restart"/>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Settle payment</w:t>
            </w:r>
          </w:p>
        </w:tc>
        <w:tc>
          <w:tcPr>
            <w:tcW w:w="77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6.1</w:t>
            </w:r>
          </w:p>
        </w:tc>
        <w:tc>
          <w:tcPr>
            <w:tcW w:w="561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Invoice is issued to customer and payment received and receipted</w:t>
            </w:r>
          </w:p>
        </w:tc>
      </w:tr>
      <w:tr w:rsidR="00000000" w:rsidRPr="001E342C" w:rsidTr="001E342C">
        <w:tc>
          <w:tcPr>
            <w:tcW w:w="678"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DA5E4F">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6.2</w:t>
            </w:r>
          </w:p>
        </w:tc>
        <w:tc>
          <w:tcPr>
            <w:tcW w:w="5610" w:type="dxa"/>
            <w:tcBorders>
              <w:top w:val="nil"/>
              <w:left w:val="nil"/>
              <w:bottom w:val="nil"/>
              <w:right w:val="nil"/>
            </w:tcBorders>
            <w:tcMar>
              <w:top w:w="0" w:type="dxa"/>
              <w:left w:w="62" w:type="dxa"/>
              <w:bottom w:w="0" w:type="dxa"/>
              <w:right w:w="62" w:type="dxa"/>
            </w:tcMar>
          </w:tcPr>
          <w:p w:rsidR="00000000" w:rsidRPr="001E342C" w:rsidRDefault="00DA5E4F" w:rsidP="001E342C">
            <w:pPr>
              <w:pStyle w:val="BodyText"/>
            </w:pPr>
            <w:r w:rsidRPr="001E342C">
              <w:t>Workplace documentation is completed</w:t>
            </w:r>
          </w:p>
        </w:tc>
      </w:tr>
    </w:tbl>
    <w:p w:rsidR="00DA5E4F" w:rsidRDefault="00DA5E4F" w:rsidP="001E342C">
      <w:pPr>
        <w:pStyle w:val="BodyText"/>
      </w:pPr>
    </w:p>
    <w:p w:rsidR="00DA5E4F" w:rsidRDefault="00DA5E4F" w:rsidP="001E342C">
      <w:pPr>
        <w:pStyle w:val="BodyText"/>
      </w:pPr>
    </w:p>
    <w:p w:rsidR="00000000" w:rsidRPr="001E342C" w:rsidRDefault="00DA5E4F" w:rsidP="001E342C">
      <w:pPr>
        <w:pStyle w:val="Heading1"/>
      </w:pPr>
      <w:bookmarkStart w:id="7" w:name="O_630088"/>
      <w:bookmarkEnd w:id="7"/>
      <w:r w:rsidRPr="001E342C">
        <w:t>Foundation Skills</w:t>
      </w:r>
    </w:p>
    <w:p w:rsidR="00DA5E4F" w:rsidRDefault="00DA5E4F" w:rsidP="001E342C">
      <w:pPr>
        <w:pStyle w:val="BodyText"/>
      </w:pPr>
      <w:r w:rsidRPr="001E342C">
        <w:t>Foundation skills essential to performance are explicit in the performance criteria of this unit of competency. Detail on appropriate performance levels for each furnishing unit of competency in reading, writing, oral communication and numeracy utilising t</w:t>
      </w:r>
      <w:r w:rsidRPr="001E342C">
        <w:t xml:space="preserve">he Australian Core Skills Framework (ACSF) are provided in the Furnishing Training Package Implementation Guide. </w:t>
      </w:r>
    </w:p>
    <w:p w:rsidR="00DA5E4F" w:rsidRDefault="00DA5E4F" w:rsidP="001E342C">
      <w:pPr>
        <w:pStyle w:val="BodyText"/>
      </w:pPr>
    </w:p>
    <w:p w:rsidR="00000000" w:rsidRPr="001E342C" w:rsidRDefault="00DA5E4F" w:rsidP="001E342C">
      <w:pPr>
        <w:pStyle w:val="Heading1"/>
      </w:pPr>
      <w:bookmarkStart w:id="8" w:name="O_630087"/>
      <w:bookmarkEnd w:id="8"/>
      <w:r w:rsidRPr="001E342C">
        <w:lastRenderedPageBreak/>
        <w:t>Range of Conditions</w:t>
      </w:r>
    </w:p>
    <w:tbl>
      <w:tblPr>
        <w:tblW w:w="0" w:type="auto"/>
        <w:tblLayout w:type="fixed"/>
        <w:tblCellMar>
          <w:left w:w="62" w:type="dxa"/>
          <w:right w:w="62" w:type="dxa"/>
        </w:tblCellMar>
        <w:tblLook w:val="0000" w:firstRow="0" w:lastRow="0" w:firstColumn="0" w:lastColumn="0" w:noHBand="0" w:noVBand="0"/>
      </w:tblPr>
      <w:tblGrid>
        <w:gridCol w:w="2760"/>
        <w:gridCol w:w="6312"/>
      </w:tblGrid>
      <w:tr w:rsidR="001E342C" w:rsidRPr="001E342C" w:rsidTr="001E342C">
        <w:tc>
          <w:tcPr>
            <w:tcW w:w="9072" w:type="dxa"/>
            <w:gridSpan w:val="2"/>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t>Specifies different work environments and conditions that may affect performance. Essential operating co</w:t>
            </w:r>
            <w:r w:rsidRPr="001E342C">
              <w:t>nditions that may be present (depending on the work situation, needs of the candidate, accessibility of the item, and local industry and regional contexts) are included. Range is restricted to essential operating conditions and any other variables essentia</w:t>
            </w:r>
            <w:r w:rsidRPr="001E342C">
              <w:t>l to the work environment.</w:t>
            </w:r>
          </w:p>
        </w:tc>
      </w:tr>
      <w:tr w:rsidR="00000000" w:rsidRPr="001E342C" w:rsidTr="001E342C">
        <w:tc>
          <w:tcPr>
            <w:tcW w:w="276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rPr>
                <w:rStyle w:val="SpecialBold"/>
              </w:rPr>
              <w:t>WHS requirements include:</w:t>
            </w:r>
          </w:p>
        </w:tc>
        <w:tc>
          <w:tcPr>
            <w:tcW w:w="6312" w:type="dxa"/>
            <w:tcBorders>
              <w:top w:val="nil"/>
              <w:left w:val="nil"/>
              <w:bottom w:val="nil"/>
              <w:right w:val="nil"/>
            </w:tcBorders>
            <w:tcMar>
              <w:top w:w="0" w:type="dxa"/>
              <w:left w:w="62" w:type="dxa"/>
              <w:bottom w:w="0" w:type="dxa"/>
              <w:right w:w="62" w:type="dxa"/>
            </w:tcMar>
          </w:tcPr>
          <w:p w:rsidR="00000000" w:rsidRPr="001E342C" w:rsidRDefault="00DA5E4F" w:rsidP="001E342C">
            <w:pPr>
              <w:pStyle w:val="ListBullet"/>
            </w:pPr>
            <w:r w:rsidRPr="001E342C">
              <w:t>Commonwealth, state or territory legislation and regulations</w:t>
            </w:r>
          </w:p>
          <w:p w:rsidR="00000000" w:rsidRPr="001E342C" w:rsidRDefault="00DA5E4F" w:rsidP="001E342C">
            <w:pPr>
              <w:pStyle w:val="ListBullet"/>
            </w:pPr>
            <w:r w:rsidRPr="001E342C">
              <w:t>organisational safety policies and procedures</w:t>
            </w:r>
          </w:p>
          <w:p w:rsidR="00000000" w:rsidRPr="001E342C" w:rsidRDefault="00DA5E4F" w:rsidP="001E342C">
            <w:pPr>
              <w:pStyle w:val="ListBullet"/>
            </w:pPr>
            <w:r w:rsidRPr="001E342C">
              <w:t>the use of personal protective equipment and clothing</w:t>
            </w:r>
          </w:p>
          <w:p w:rsidR="00000000" w:rsidRPr="001E342C" w:rsidRDefault="00DA5E4F" w:rsidP="001E342C">
            <w:pPr>
              <w:pStyle w:val="ListBullet"/>
            </w:pPr>
            <w:r w:rsidRPr="001E342C">
              <w:t>firefighting equipment</w:t>
            </w:r>
          </w:p>
          <w:p w:rsidR="00000000" w:rsidRPr="001E342C" w:rsidRDefault="00DA5E4F" w:rsidP="001E342C">
            <w:pPr>
              <w:pStyle w:val="ListBullet"/>
            </w:pPr>
            <w:r w:rsidRPr="001E342C">
              <w:t>first aid equipm</w:t>
            </w:r>
            <w:r w:rsidRPr="001E342C">
              <w:t>ent</w:t>
            </w:r>
          </w:p>
          <w:p w:rsidR="00000000" w:rsidRPr="001E342C" w:rsidRDefault="00DA5E4F" w:rsidP="001E342C">
            <w:pPr>
              <w:pStyle w:val="ListBullet"/>
            </w:pPr>
            <w:r w:rsidRPr="001E342C">
              <w:t>hazard and risk control and elimination of hazardous materials and substances</w:t>
            </w:r>
          </w:p>
          <w:p w:rsidR="00000000" w:rsidRDefault="00DA5E4F" w:rsidP="001E342C">
            <w:pPr>
              <w:pStyle w:val="ListBullet"/>
              <w:rPr>
                <w:lang w:val="en-NZ"/>
              </w:rPr>
            </w:pPr>
            <w:r w:rsidRPr="001E342C">
              <w:t>manual handling, including lifting and carrying</w:t>
            </w:r>
          </w:p>
        </w:tc>
      </w:tr>
      <w:tr w:rsidR="00000000" w:rsidRPr="001E342C" w:rsidTr="001E342C">
        <w:tc>
          <w:tcPr>
            <w:tcW w:w="276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rPr>
                <w:rStyle w:val="SpecialBold"/>
              </w:rPr>
              <w:t>Legislative requirements include:</w:t>
            </w:r>
          </w:p>
        </w:tc>
        <w:tc>
          <w:tcPr>
            <w:tcW w:w="6312" w:type="dxa"/>
            <w:tcBorders>
              <w:top w:val="nil"/>
              <w:left w:val="nil"/>
              <w:bottom w:val="nil"/>
              <w:right w:val="nil"/>
            </w:tcBorders>
            <w:tcMar>
              <w:top w:w="0" w:type="dxa"/>
              <w:left w:w="62" w:type="dxa"/>
              <w:bottom w:w="0" w:type="dxa"/>
              <w:right w:w="62" w:type="dxa"/>
            </w:tcMar>
          </w:tcPr>
          <w:p w:rsidR="00000000" w:rsidRPr="001E342C" w:rsidRDefault="00DA5E4F" w:rsidP="001E342C">
            <w:pPr>
              <w:pStyle w:val="ListBullet"/>
            </w:pPr>
            <w:r w:rsidRPr="001E342C">
              <w:t>applicable legislation from all levels of government that affect organisational operation</w:t>
            </w:r>
          </w:p>
          <w:p w:rsidR="00000000" w:rsidRPr="001E342C" w:rsidRDefault="00DA5E4F" w:rsidP="001E342C">
            <w:pPr>
              <w:pStyle w:val="ListBullet"/>
            </w:pPr>
            <w:r w:rsidRPr="001E342C">
              <w:t>award and enterprise agreements</w:t>
            </w:r>
          </w:p>
          <w:p w:rsidR="00000000" w:rsidRPr="001E342C" w:rsidRDefault="00DA5E4F" w:rsidP="001E342C">
            <w:pPr>
              <w:pStyle w:val="ListBullet"/>
            </w:pPr>
            <w:r w:rsidRPr="001E342C">
              <w:t>industrial relations</w:t>
            </w:r>
          </w:p>
          <w:p w:rsidR="00000000" w:rsidRPr="001E342C" w:rsidRDefault="00DA5E4F" w:rsidP="001E342C">
            <w:pPr>
              <w:pStyle w:val="ListBullet"/>
            </w:pPr>
            <w:r w:rsidRPr="001E342C">
              <w:t>Australian Standards</w:t>
            </w:r>
          </w:p>
          <w:p w:rsidR="00000000" w:rsidRPr="001E342C" w:rsidRDefault="00DA5E4F" w:rsidP="001E342C">
            <w:pPr>
              <w:pStyle w:val="ListBullet"/>
            </w:pPr>
            <w:r w:rsidRPr="001E342C">
              <w:t>confidentiality and privacy</w:t>
            </w:r>
          </w:p>
          <w:p w:rsidR="00000000" w:rsidRPr="001E342C" w:rsidRDefault="00DA5E4F" w:rsidP="001E342C">
            <w:pPr>
              <w:pStyle w:val="ListBullet"/>
            </w:pPr>
            <w:r w:rsidRPr="001E342C">
              <w:t>the environment</w:t>
            </w:r>
          </w:p>
          <w:p w:rsidR="00000000" w:rsidRPr="001E342C" w:rsidRDefault="00DA5E4F" w:rsidP="001E342C">
            <w:pPr>
              <w:pStyle w:val="ListBullet"/>
            </w:pPr>
            <w:r w:rsidRPr="001E342C">
              <w:t>equal employment opportunity (EEO)</w:t>
            </w:r>
          </w:p>
          <w:p w:rsidR="00000000" w:rsidRPr="001E342C" w:rsidRDefault="00DA5E4F" w:rsidP="001E342C">
            <w:pPr>
              <w:pStyle w:val="ListBullet"/>
            </w:pPr>
            <w:r w:rsidRPr="001E342C">
              <w:t>anti-discrimination</w:t>
            </w:r>
          </w:p>
          <w:p w:rsidR="00000000" w:rsidRPr="001E342C" w:rsidRDefault="00DA5E4F" w:rsidP="001E342C">
            <w:pPr>
              <w:pStyle w:val="ListBullet"/>
            </w:pPr>
            <w:r w:rsidRPr="001E342C">
              <w:t>relevant industry codes of practice</w:t>
            </w:r>
          </w:p>
          <w:p w:rsidR="00000000" w:rsidRDefault="00DA5E4F" w:rsidP="001E342C">
            <w:pPr>
              <w:pStyle w:val="ListBullet"/>
              <w:rPr>
                <w:lang w:val="en-NZ"/>
              </w:rPr>
            </w:pPr>
            <w:r w:rsidRPr="001E342C">
              <w:t>duty of care and heritage</w:t>
            </w:r>
          </w:p>
        </w:tc>
      </w:tr>
      <w:tr w:rsidR="00000000" w:rsidRPr="001E342C" w:rsidTr="001E342C">
        <w:tc>
          <w:tcPr>
            <w:tcW w:w="276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rPr>
                <w:rStyle w:val="SpecialBold"/>
              </w:rPr>
              <w:t xml:space="preserve">Workplace practices </w:t>
            </w:r>
            <w:r w:rsidRPr="001E342C">
              <w:rPr>
                <w:rStyle w:val="SpecialBold"/>
              </w:rPr>
              <w:t>include:</w:t>
            </w:r>
          </w:p>
        </w:tc>
        <w:tc>
          <w:tcPr>
            <w:tcW w:w="6312" w:type="dxa"/>
            <w:tcBorders>
              <w:top w:val="nil"/>
              <w:left w:val="nil"/>
              <w:bottom w:val="nil"/>
              <w:right w:val="nil"/>
            </w:tcBorders>
            <w:tcMar>
              <w:top w:w="0" w:type="dxa"/>
              <w:left w:w="62" w:type="dxa"/>
              <w:bottom w:w="0" w:type="dxa"/>
              <w:right w:w="62" w:type="dxa"/>
            </w:tcMar>
          </w:tcPr>
          <w:p w:rsidR="00000000" w:rsidRPr="001E342C" w:rsidRDefault="00DA5E4F" w:rsidP="001E342C">
            <w:pPr>
              <w:pStyle w:val="ListBullet"/>
            </w:pPr>
            <w:r w:rsidRPr="001E342C">
              <w:t>legal, organisational and site guidelines</w:t>
            </w:r>
          </w:p>
          <w:p w:rsidR="00000000" w:rsidRPr="001E342C" w:rsidRDefault="00DA5E4F" w:rsidP="001E342C">
            <w:pPr>
              <w:pStyle w:val="ListBullet"/>
            </w:pPr>
            <w:r w:rsidRPr="001E342C">
              <w:t>policies and procedures relating to own role and responsibility</w:t>
            </w:r>
          </w:p>
          <w:p w:rsidR="00000000" w:rsidRPr="001E342C" w:rsidRDefault="00DA5E4F" w:rsidP="001E342C">
            <w:pPr>
              <w:pStyle w:val="ListBullet"/>
            </w:pPr>
            <w:r w:rsidRPr="001E342C">
              <w:t>quality assurance</w:t>
            </w:r>
          </w:p>
          <w:p w:rsidR="00000000" w:rsidRPr="001E342C" w:rsidRDefault="00DA5E4F" w:rsidP="001E342C">
            <w:pPr>
              <w:pStyle w:val="ListBullet"/>
            </w:pPr>
            <w:r w:rsidRPr="001E342C">
              <w:t>procedural manuals</w:t>
            </w:r>
          </w:p>
          <w:p w:rsidR="00000000" w:rsidRPr="001E342C" w:rsidRDefault="00DA5E4F" w:rsidP="001E342C">
            <w:pPr>
              <w:pStyle w:val="ListBullet"/>
            </w:pPr>
            <w:r w:rsidRPr="001E342C">
              <w:t>quality and continuous improvement processes and standards</w:t>
            </w:r>
          </w:p>
          <w:p w:rsidR="00000000" w:rsidRPr="001E342C" w:rsidRDefault="00DA5E4F" w:rsidP="001E342C">
            <w:pPr>
              <w:pStyle w:val="ListBullet"/>
            </w:pPr>
            <w:r w:rsidRPr="001E342C">
              <w:t>emergency and evacuation</w:t>
            </w:r>
          </w:p>
          <w:p w:rsidR="00000000" w:rsidRPr="001E342C" w:rsidRDefault="00DA5E4F" w:rsidP="001E342C">
            <w:pPr>
              <w:pStyle w:val="ListBullet"/>
            </w:pPr>
            <w:r w:rsidRPr="001E342C">
              <w:t>ethical standards</w:t>
            </w:r>
          </w:p>
          <w:p w:rsidR="00000000" w:rsidRPr="001E342C" w:rsidRDefault="00DA5E4F" w:rsidP="001E342C">
            <w:pPr>
              <w:pStyle w:val="ListBullet"/>
            </w:pPr>
            <w:r w:rsidRPr="001E342C">
              <w:t>recording and reporting</w:t>
            </w:r>
          </w:p>
          <w:p w:rsidR="00000000" w:rsidRPr="001E342C" w:rsidRDefault="00DA5E4F" w:rsidP="001E342C">
            <w:pPr>
              <w:pStyle w:val="ListBullet"/>
            </w:pPr>
            <w:r w:rsidRPr="001E342C">
              <w:t>access and equity principles and practices</w:t>
            </w:r>
          </w:p>
          <w:p w:rsidR="00000000" w:rsidRPr="001E342C" w:rsidRDefault="00DA5E4F" w:rsidP="001E342C">
            <w:pPr>
              <w:pStyle w:val="ListBullet"/>
            </w:pPr>
            <w:r w:rsidRPr="001E342C">
              <w:t>equipment use, maintenance and storage</w:t>
            </w:r>
          </w:p>
          <w:p w:rsidR="00000000" w:rsidRPr="001E342C" w:rsidRDefault="00DA5E4F" w:rsidP="001E342C">
            <w:pPr>
              <w:pStyle w:val="ListBullet"/>
            </w:pPr>
            <w:r w:rsidRPr="001E342C">
              <w:t>environmental management (waste disposal, recycling and re-use guidelines)</w:t>
            </w:r>
          </w:p>
          <w:p w:rsidR="00000000" w:rsidRPr="001E342C" w:rsidRDefault="00DA5E4F" w:rsidP="001E342C">
            <w:pPr>
              <w:pStyle w:val="ListBullet"/>
            </w:pPr>
            <w:r w:rsidRPr="001E342C">
              <w:t xml:space="preserve">tolerances </w:t>
            </w:r>
          </w:p>
          <w:p w:rsidR="00000000" w:rsidRDefault="00DA5E4F" w:rsidP="001E342C">
            <w:pPr>
              <w:pStyle w:val="ListBullet"/>
              <w:rPr>
                <w:lang w:val="en-NZ"/>
              </w:rPr>
            </w:pPr>
            <w:r w:rsidRPr="001E342C">
              <w:t>following manufacturer instructions</w:t>
            </w:r>
          </w:p>
        </w:tc>
      </w:tr>
      <w:tr w:rsidR="00000000" w:rsidRPr="001E342C" w:rsidTr="001E342C">
        <w:tc>
          <w:tcPr>
            <w:tcW w:w="276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rPr>
                <w:rStyle w:val="SpecialBold"/>
              </w:rPr>
              <w:t>Hardware includes:</w:t>
            </w:r>
          </w:p>
        </w:tc>
        <w:tc>
          <w:tcPr>
            <w:tcW w:w="6312" w:type="dxa"/>
            <w:tcBorders>
              <w:top w:val="nil"/>
              <w:left w:val="nil"/>
              <w:bottom w:val="nil"/>
              <w:right w:val="nil"/>
            </w:tcBorders>
            <w:tcMar>
              <w:top w:w="0" w:type="dxa"/>
              <w:left w:w="62" w:type="dxa"/>
              <w:bottom w:w="0" w:type="dxa"/>
              <w:right w:w="62" w:type="dxa"/>
            </w:tcMar>
          </w:tcPr>
          <w:p w:rsidR="00000000" w:rsidRPr="001E342C" w:rsidRDefault="00DA5E4F" w:rsidP="001E342C">
            <w:pPr>
              <w:pStyle w:val="ListBullet"/>
            </w:pPr>
            <w:r w:rsidRPr="001E342C">
              <w:t>screws</w:t>
            </w:r>
          </w:p>
          <w:p w:rsidR="00000000" w:rsidRPr="001E342C" w:rsidRDefault="00DA5E4F" w:rsidP="001E342C">
            <w:pPr>
              <w:pStyle w:val="ListBullet"/>
            </w:pPr>
            <w:r w:rsidRPr="001E342C">
              <w:t>masonry anchors</w:t>
            </w:r>
          </w:p>
          <w:p w:rsidR="00000000" w:rsidRPr="001E342C" w:rsidRDefault="00DA5E4F" w:rsidP="001E342C">
            <w:pPr>
              <w:pStyle w:val="ListBullet"/>
            </w:pPr>
            <w:r w:rsidRPr="001E342C">
              <w:t>dynabolts</w:t>
            </w:r>
          </w:p>
          <w:p w:rsidR="00000000" w:rsidRPr="001E342C" w:rsidRDefault="00DA5E4F" w:rsidP="001E342C">
            <w:pPr>
              <w:pStyle w:val="ListBullet"/>
            </w:pPr>
            <w:r w:rsidRPr="001E342C">
              <w:t>nuts and bolts</w:t>
            </w:r>
          </w:p>
          <w:p w:rsidR="00000000" w:rsidRPr="001E342C" w:rsidRDefault="00DA5E4F" w:rsidP="001E342C">
            <w:pPr>
              <w:pStyle w:val="ListBullet"/>
            </w:pPr>
            <w:r w:rsidRPr="001E342C">
              <w:t>mounting brackets</w:t>
            </w:r>
          </w:p>
          <w:p w:rsidR="00000000" w:rsidRPr="001E342C" w:rsidRDefault="00DA5E4F" w:rsidP="001E342C">
            <w:pPr>
              <w:pStyle w:val="ListBullet"/>
            </w:pPr>
            <w:r w:rsidRPr="001E342C">
              <w:t>hinges</w:t>
            </w:r>
          </w:p>
          <w:p w:rsidR="00000000" w:rsidRPr="001E342C" w:rsidRDefault="00DA5E4F" w:rsidP="001E342C">
            <w:pPr>
              <w:pStyle w:val="ListBullet"/>
            </w:pPr>
            <w:r w:rsidRPr="001E342C">
              <w:t>filler strips</w:t>
            </w:r>
          </w:p>
          <w:p w:rsidR="00000000" w:rsidRPr="001E342C" w:rsidRDefault="00DA5E4F" w:rsidP="001E342C">
            <w:pPr>
              <w:pStyle w:val="ListBullet"/>
            </w:pPr>
            <w:r w:rsidRPr="001E342C">
              <w:t xml:space="preserve">cover strips </w:t>
            </w:r>
          </w:p>
          <w:p w:rsidR="00000000" w:rsidRDefault="00DA5E4F" w:rsidP="001E342C">
            <w:pPr>
              <w:pStyle w:val="ListBullet"/>
              <w:rPr>
                <w:lang w:val="en-NZ"/>
              </w:rPr>
            </w:pPr>
            <w:r w:rsidRPr="001E342C">
              <w:t>track systems</w:t>
            </w:r>
          </w:p>
        </w:tc>
      </w:tr>
      <w:tr w:rsidR="00000000" w:rsidRPr="001E342C" w:rsidTr="001E342C">
        <w:tc>
          <w:tcPr>
            <w:tcW w:w="276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rPr>
                <w:rStyle w:val="SpecialBold"/>
              </w:rPr>
              <w:t>Tools and equipment include:</w:t>
            </w:r>
          </w:p>
        </w:tc>
        <w:tc>
          <w:tcPr>
            <w:tcW w:w="6312" w:type="dxa"/>
            <w:tcBorders>
              <w:top w:val="nil"/>
              <w:left w:val="nil"/>
              <w:bottom w:val="nil"/>
              <w:right w:val="nil"/>
            </w:tcBorders>
            <w:tcMar>
              <w:top w:w="0" w:type="dxa"/>
              <w:left w:w="62" w:type="dxa"/>
              <w:bottom w:w="0" w:type="dxa"/>
              <w:right w:w="62" w:type="dxa"/>
            </w:tcMar>
          </w:tcPr>
          <w:p w:rsidR="00000000" w:rsidRPr="001E342C" w:rsidRDefault="00DA5E4F" w:rsidP="001E342C">
            <w:pPr>
              <w:pStyle w:val="ListBullet"/>
            </w:pPr>
            <w:r w:rsidRPr="001E342C">
              <w:t>screwdrivers</w:t>
            </w:r>
          </w:p>
          <w:p w:rsidR="00000000" w:rsidRPr="001E342C" w:rsidRDefault="00DA5E4F" w:rsidP="001E342C">
            <w:pPr>
              <w:pStyle w:val="ListBullet"/>
            </w:pPr>
            <w:r w:rsidRPr="001E342C">
              <w:t>docking saws</w:t>
            </w:r>
          </w:p>
          <w:p w:rsidR="00000000" w:rsidRPr="001E342C" w:rsidRDefault="00DA5E4F" w:rsidP="001E342C">
            <w:pPr>
              <w:pStyle w:val="ListBullet"/>
            </w:pPr>
            <w:r w:rsidRPr="001E342C">
              <w:t>ladders</w:t>
            </w:r>
          </w:p>
          <w:p w:rsidR="00000000" w:rsidRPr="001E342C" w:rsidRDefault="00DA5E4F" w:rsidP="001E342C">
            <w:pPr>
              <w:pStyle w:val="ListBullet"/>
            </w:pPr>
            <w:r w:rsidRPr="001E342C">
              <w:t>tape measure</w:t>
            </w:r>
          </w:p>
          <w:p w:rsidR="00000000" w:rsidRPr="001E342C" w:rsidRDefault="00DA5E4F" w:rsidP="001E342C">
            <w:pPr>
              <w:pStyle w:val="ListBullet"/>
            </w:pPr>
            <w:r w:rsidRPr="001E342C">
              <w:t>power drill</w:t>
            </w:r>
          </w:p>
          <w:p w:rsidR="00000000" w:rsidRPr="001E342C" w:rsidRDefault="00DA5E4F" w:rsidP="001E342C">
            <w:pPr>
              <w:pStyle w:val="ListBullet"/>
            </w:pPr>
            <w:r w:rsidRPr="001E342C">
              <w:t xml:space="preserve">scissors </w:t>
            </w:r>
          </w:p>
          <w:p w:rsidR="00000000" w:rsidRDefault="00DA5E4F" w:rsidP="001E342C">
            <w:pPr>
              <w:pStyle w:val="ListBullet"/>
              <w:rPr>
                <w:lang w:val="en-NZ"/>
              </w:rPr>
            </w:pPr>
            <w:r w:rsidRPr="001E342C">
              <w:t>caulking gun</w:t>
            </w:r>
          </w:p>
        </w:tc>
      </w:tr>
      <w:tr w:rsidR="00000000" w:rsidRPr="001E342C" w:rsidTr="001E342C">
        <w:tc>
          <w:tcPr>
            <w:tcW w:w="276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rPr>
                <w:rStyle w:val="SpecialBold"/>
              </w:rPr>
              <w:t>Work instructions include:</w:t>
            </w:r>
          </w:p>
        </w:tc>
        <w:tc>
          <w:tcPr>
            <w:tcW w:w="6312" w:type="dxa"/>
            <w:tcBorders>
              <w:top w:val="nil"/>
              <w:left w:val="nil"/>
              <w:bottom w:val="nil"/>
              <w:right w:val="nil"/>
            </w:tcBorders>
            <w:tcMar>
              <w:top w:w="0" w:type="dxa"/>
              <w:left w:w="62" w:type="dxa"/>
              <w:bottom w:w="0" w:type="dxa"/>
              <w:right w:w="62" w:type="dxa"/>
            </w:tcMar>
          </w:tcPr>
          <w:p w:rsidR="00000000" w:rsidRDefault="00DA5E4F" w:rsidP="001E342C">
            <w:pPr>
              <w:pStyle w:val="ListBullet"/>
              <w:rPr>
                <w:lang w:val="en-NZ"/>
              </w:rPr>
            </w:pPr>
            <w:r w:rsidRPr="001E342C">
              <w:t>instructions for the installation of different styles of timber shutters for both internal and external applications</w:t>
            </w:r>
          </w:p>
        </w:tc>
      </w:tr>
      <w:tr w:rsidR="00000000" w:rsidRPr="001E342C" w:rsidTr="001E342C">
        <w:tc>
          <w:tcPr>
            <w:tcW w:w="276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rPr>
                <w:rStyle w:val="SpecialBold"/>
              </w:rPr>
              <w:t>Customers include:</w:t>
            </w:r>
          </w:p>
        </w:tc>
        <w:tc>
          <w:tcPr>
            <w:tcW w:w="6312" w:type="dxa"/>
            <w:tcBorders>
              <w:top w:val="nil"/>
              <w:left w:val="nil"/>
              <w:bottom w:val="nil"/>
              <w:right w:val="nil"/>
            </w:tcBorders>
            <w:tcMar>
              <w:top w:w="0" w:type="dxa"/>
              <w:left w:w="62" w:type="dxa"/>
              <w:bottom w:w="0" w:type="dxa"/>
              <w:right w:w="62" w:type="dxa"/>
            </w:tcMar>
          </w:tcPr>
          <w:p w:rsidR="00000000" w:rsidRPr="001E342C" w:rsidRDefault="00DA5E4F" w:rsidP="001E342C">
            <w:pPr>
              <w:pStyle w:val="ListBullet"/>
            </w:pPr>
            <w:r w:rsidRPr="001E342C">
              <w:t>home owners</w:t>
            </w:r>
          </w:p>
          <w:p w:rsidR="00000000" w:rsidRPr="001E342C" w:rsidRDefault="00DA5E4F" w:rsidP="001E342C">
            <w:pPr>
              <w:pStyle w:val="ListBullet"/>
            </w:pPr>
            <w:r w:rsidRPr="001E342C">
              <w:t>real estate agents</w:t>
            </w:r>
          </w:p>
          <w:p w:rsidR="00000000" w:rsidRPr="001E342C" w:rsidRDefault="00DA5E4F" w:rsidP="001E342C">
            <w:pPr>
              <w:pStyle w:val="ListBullet"/>
            </w:pPr>
            <w:r w:rsidRPr="001E342C">
              <w:t>tenants</w:t>
            </w:r>
          </w:p>
          <w:p w:rsidR="00000000" w:rsidRPr="001E342C" w:rsidRDefault="00DA5E4F" w:rsidP="001E342C">
            <w:pPr>
              <w:pStyle w:val="ListBullet"/>
            </w:pPr>
            <w:r w:rsidRPr="001E342C">
              <w:t xml:space="preserve">body corporate representatives </w:t>
            </w:r>
          </w:p>
          <w:p w:rsidR="00000000" w:rsidRDefault="00DA5E4F" w:rsidP="001E342C">
            <w:pPr>
              <w:pStyle w:val="ListBullet"/>
              <w:rPr>
                <w:lang w:val="en-NZ"/>
              </w:rPr>
            </w:pPr>
            <w:r w:rsidRPr="001E342C">
              <w:t>business owners</w:t>
            </w:r>
          </w:p>
        </w:tc>
      </w:tr>
      <w:tr w:rsidR="00000000" w:rsidRPr="001E342C" w:rsidTr="001E342C">
        <w:tc>
          <w:tcPr>
            <w:tcW w:w="276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rPr>
                <w:rStyle w:val="SpecialBold"/>
              </w:rPr>
              <w:t>Personal protection needs incl</w:t>
            </w:r>
            <w:r w:rsidRPr="001E342C">
              <w:rPr>
                <w:rStyle w:val="SpecialBold"/>
              </w:rPr>
              <w:t>ude:</w:t>
            </w:r>
          </w:p>
        </w:tc>
        <w:tc>
          <w:tcPr>
            <w:tcW w:w="6312" w:type="dxa"/>
            <w:tcBorders>
              <w:top w:val="nil"/>
              <w:left w:val="nil"/>
              <w:bottom w:val="nil"/>
              <w:right w:val="nil"/>
            </w:tcBorders>
            <w:tcMar>
              <w:top w:w="0" w:type="dxa"/>
              <w:left w:w="62" w:type="dxa"/>
              <w:bottom w:w="0" w:type="dxa"/>
              <w:right w:w="62" w:type="dxa"/>
            </w:tcMar>
          </w:tcPr>
          <w:p w:rsidR="00000000" w:rsidRPr="001E342C" w:rsidRDefault="00DA5E4F" w:rsidP="001E342C">
            <w:pPr>
              <w:pStyle w:val="ListBullet"/>
            </w:pPr>
            <w:r w:rsidRPr="001E342C">
              <w:t>safety glasses</w:t>
            </w:r>
          </w:p>
          <w:p w:rsidR="00000000" w:rsidRPr="001E342C" w:rsidRDefault="00DA5E4F" w:rsidP="001E342C">
            <w:pPr>
              <w:pStyle w:val="ListBullet"/>
            </w:pPr>
            <w:r w:rsidRPr="001E342C">
              <w:t>hearing protection</w:t>
            </w:r>
          </w:p>
          <w:p w:rsidR="00000000" w:rsidRPr="001E342C" w:rsidRDefault="00DA5E4F" w:rsidP="001E342C">
            <w:pPr>
              <w:pStyle w:val="ListBullet"/>
            </w:pPr>
            <w:r w:rsidRPr="001E342C">
              <w:t>safety boots</w:t>
            </w:r>
          </w:p>
          <w:p w:rsidR="00000000" w:rsidRDefault="00DA5E4F" w:rsidP="001E342C">
            <w:pPr>
              <w:pStyle w:val="ListBullet"/>
              <w:rPr>
                <w:lang w:val="en-NZ"/>
              </w:rPr>
            </w:pPr>
            <w:r w:rsidRPr="001E342C">
              <w:t>sunscreen and hats</w:t>
            </w:r>
          </w:p>
        </w:tc>
      </w:tr>
      <w:tr w:rsidR="00000000" w:rsidRPr="001E342C" w:rsidTr="001E342C">
        <w:tc>
          <w:tcPr>
            <w:tcW w:w="276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rPr>
                <w:rStyle w:val="SpecialBold"/>
              </w:rPr>
              <w:t>Work orders include:</w:t>
            </w:r>
          </w:p>
        </w:tc>
        <w:tc>
          <w:tcPr>
            <w:tcW w:w="6312" w:type="dxa"/>
            <w:tcBorders>
              <w:top w:val="nil"/>
              <w:left w:val="nil"/>
              <w:bottom w:val="nil"/>
              <w:right w:val="nil"/>
            </w:tcBorders>
            <w:tcMar>
              <w:top w:w="0" w:type="dxa"/>
              <w:left w:w="62" w:type="dxa"/>
              <w:bottom w:w="0" w:type="dxa"/>
              <w:right w:w="62" w:type="dxa"/>
            </w:tcMar>
          </w:tcPr>
          <w:p w:rsidR="00000000" w:rsidRPr="001E342C" w:rsidRDefault="00DA5E4F" w:rsidP="001E342C">
            <w:pPr>
              <w:pStyle w:val="ListBullet"/>
            </w:pPr>
            <w:r w:rsidRPr="001E342C">
              <w:t>quotations for work</w:t>
            </w:r>
          </w:p>
          <w:p w:rsidR="00000000" w:rsidRPr="001E342C" w:rsidRDefault="00DA5E4F" w:rsidP="001E342C">
            <w:pPr>
              <w:pStyle w:val="ListBullet"/>
            </w:pPr>
            <w:r w:rsidRPr="001E342C">
              <w:t xml:space="preserve">job cards </w:t>
            </w:r>
          </w:p>
          <w:p w:rsidR="00000000" w:rsidRDefault="00DA5E4F" w:rsidP="001E342C">
            <w:pPr>
              <w:pStyle w:val="ListBullet"/>
              <w:rPr>
                <w:lang w:val="en-NZ"/>
              </w:rPr>
            </w:pPr>
            <w:r w:rsidRPr="001E342C">
              <w:t>customer orders</w:t>
            </w:r>
          </w:p>
        </w:tc>
      </w:tr>
      <w:tr w:rsidR="00000000" w:rsidRPr="001E342C" w:rsidTr="001E342C">
        <w:tc>
          <w:tcPr>
            <w:tcW w:w="276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rPr>
                <w:rStyle w:val="SpecialBold"/>
              </w:rPr>
              <w:t>Work sequence includes:</w:t>
            </w:r>
          </w:p>
        </w:tc>
        <w:tc>
          <w:tcPr>
            <w:tcW w:w="6312" w:type="dxa"/>
            <w:tcBorders>
              <w:top w:val="nil"/>
              <w:left w:val="nil"/>
              <w:bottom w:val="nil"/>
              <w:right w:val="nil"/>
            </w:tcBorders>
            <w:tcMar>
              <w:top w:w="0" w:type="dxa"/>
              <w:left w:w="62" w:type="dxa"/>
              <w:bottom w:w="0" w:type="dxa"/>
              <w:right w:w="62" w:type="dxa"/>
            </w:tcMar>
          </w:tcPr>
          <w:p w:rsidR="00000000" w:rsidRDefault="00DA5E4F" w:rsidP="001E342C">
            <w:pPr>
              <w:pStyle w:val="ListBullet"/>
              <w:rPr>
                <w:lang w:val="en-NZ"/>
              </w:rPr>
            </w:pPr>
            <w:r w:rsidRPr="001E342C">
              <w:t xml:space="preserve">the steps for installation in a logical order to prevent backtracking </w:t>
            </w:r>
          </w:p>
        </w:tc>
      </w:tr>
      <w:tr w:rsidR="00000000" w:rsidRPr="001E342C" w:rsidTr="001E342C">
        <w:tc>
          <w:tcPr>
            <w:tcW w:w="276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rPr>
                <w:rStyle w:val="SpecialBold"/>
              </w:rPr>
              <w:t>Worksites include:</w:t>
            </w:r>
          </w:p>
        </w:tc>
        <w:tc>
          <w:tcPr>
            <w:tcW w:w="6312" w:type="dxa"/>
            <w:tcBorders>
              <w:top w:val="nil"/>
              <w:left w:val="nil"/>
              <w:bottom w:val="nil"/>
              <w:right w:val="nil"/>
            </w:tcBorders>
            <w:tcMar>
              <w:top w:w="0" w:type="dxa"/>
              <w:left w:w="62" w:type="dxa"/>
              <w:bottom w:w="0" w:type="dxa"/>
              <w:right w:w="62" w:type="dxa"/>
            </w:tcMar>
          </w:tcPr>
          <w:p w:rsidR="00000000" w:rsidRPr="001E342C" w:rsidRDefault="00DA5E4F" w:rsidP="001E342C">
            <w:pPr>
              <w:pStyle w:val="ListBullet"/>
            </w:pPr>
            <w:r w:rsidRPr="001E342C">
              <w:t>construction sites</w:t>
            </w:r>
          </w:p>
          <w:p w:rsidR="00000000" w:rsidRPr="001E342C" w:rsidRDefault="00DA5E4F" w:rsidP="001E342C">
            <w:pPr>
              <w:pStyle w:val="ListBullet"/>
            </w:pPr>
            <w:r w:rsidRPr="001E342C">
              <w:t xml:space="preserve">single storey and multi-storey dwellings </w:t>
            </w:r>
          </w:p>
          <w:p w:rsidR="00000000" w:rsidRPr="001E342C" w:rsidRDefault="00DA5E4F" w:rsidP="001E342C">
            <w:pPr>
              <w:pStyle w:val="ListBullet"/>
            </w:pPr>
            <w:r w:rsidRPr="001E342C">
              <w:t>commercial premises</w:t>
            </w:r>
          </w:p>
          <w:p w:rsidR="00000000" w:rsidRDefault="00DA5E4F" w:rsidP="001E342C">
            <w:pPr>
              <w:pStyle w:val="ListBullet"/>
              <w:rPr>
                <w:lang w:val="en-NZ"/>
              </w:rPr>
            </w:pPr>
            <w:r w:rsidRPr="001E342C">
              <w:t>newly completed buildings</w:t>
            </w:r>
          </w:p>
        </w:tc>
      </w:tr>
      <w:tr w:rsidR="00000000" w:rsidRPr="001E342C" w:rsidTr="001E342C">
        <w:tc>
          <w:tcPr>
            <w:tcW w:w="276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rPr>
                <w:rStyle w:val="SpecialBold"/>
              </w:rPr>
              <w:t>Protecting property includes:</w:t>
            </w:r>
          </w:p>
        </w:tc>
        <w:tc>
          <w:tcPr>
            <w:tcW w:w="6312" w:type="dxa"/>
            <w:tcBorders>
              <w:top w:val="nil"/>
              <w:left w:val="nil"/>
              <w:bottom w:val="nil"/>
              <w:right w:val="nil"/>
            </w:tcBorders>
            <w:tcMar>
              <w:top w:w="0" w:type="dxa"/>
              <w:left w:w="62" w:type="dxa"/>
              <w:bottom w:w="0" w:type="dxa"/>
              <w:right w:w="62" w:type="dxa"/>
            </w:tcMar>
          </w:tcPr>
          <w:p w:rsidR="00000000" w:rsidRDefault="00DA5E4F" w:rsidP="001E342C">
            <w:pPr>
              <w:pStyle w:val="ListBullet"/>
              <w:rPr>
                <w:lang w:val="en-NZ"/>
              </w:rPr>
            </w:pPr>
            <w:r w:rsidRPr="001E342C">
              <w:t>using drop sheets, barriers, cones and signs</w:t>
            </w:r>
          </w:p>
        </w:tc>
      </w:tr>
      <w:tr w:rsidR="00000000" w:rsidRPr="001E342C" w:rsidTr="001E342C">
        <w:tc>
          <w:tcPr>
            <w:tcW w:w="276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rPr>
                <w:rStyle w:val="SpecialBold"/>
              </w:rPr>
              <w:t>Manufacturer specifications include:</w:t>
            </w:r>
          </w:p>
        </w:tc>
        <w:tc>
          <w:tcPr>
            <w:tcW w:w="6312" w:type="dxa"/>
            <w:tcBorders>
              <w:top w:val="nil"/>
              <w:left w:val="nil"/>
              <w:bottom w:val="nil"/>
              <w:right w:val="nil"/>
            </w:tcBorders>
            <w:tcMar>
              <w:top w:w="0" w:type="dxa"/>
              <w:left w:w="62" w:type="dxa"/>
              <w:bottom w:w="0" w:type="dxa"/>
              <w:right w:w="62" w:type="dxa"/>
            </w:tcMar>
          </w:tcPr>
          <w:p w:rsidR="00000000" w:rsidRDefault="00DA5E4F" w:rsidP="001E342C">
            <w:pPr>
              <w:pStyle w:val="ListBullet"/>
              <w:rPr>
                <w:lang w:val="en-NZ"/>
              </w:rPr>
            </w:pPr>
            <w:r w:rsidRPr="001E342C">
              <w:t>written or verbal specifications</w:t>
            </w:r>
          </w:p>
        </w:tc>
      </w:tr>
      <w:tr w:rsidR="00000000" w:rsidRPr="001E342C" w:rsidTr="001E342C">
        <w:tc>
          <w:tcPr>
            <w:tcW w:w="276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rPr>
                <w:rStyle w:val="SpecialBold"/>
              </w:rPr>
              <w:t>Waste includes:</w:t>
            </w:r>
          </w:p>
        </w:tc>
        <w:tc>
          <w:tcPr>
            <w:tcW w:w="6312" w:type="dxa"/>
            <w:tcBorders>
              <w:top w:val="nil"/>
              <w:left w:val="nil"/>
              <w:bottom w:val="nil"/>
              <w:right w:val="nil"/>
            </w:tcBorders>
            <w:tcMar>
              <w:top w:w="0" w:type="dxa"/>
              <w:left w:w="62" w:type="dxa"/>
              <w:bottom w:w="0" w:type="dxa"/>
              <w:right w:w="62" w:type="dxa"/>
            </w:tcMar>
          </w:tcPr>
          <w:p w:rsidR="00000000" w:rsidRPr="001E342C" w:rsidRDefault="00DA5E4F" w:rsidP="001E342C">
            <w:pPr>
              <w:pStyle w:val="ListBullet"/>
            </w:pPr>
            <w:r w:rsidRPr="001E342C">
              <w:t>textiles</w:t>
            </w:r>
          </w:p>
          <w:p w:rsidR="00000000" w:rsidRPr="001E342C" w:rsidRDefault="00DA5E4F" w:rsidP="001E342C">
            <w:pPr>
              <w:pStyle w:val="ListBullet"/>
            </w:pPr>
            <w:r w:rsidRPr="001E342C">
              <w:t>metals</w:t>
            </w:r>
          </w:p>
          <w:p w:rsidR="00000000" w:rsidRPr="001E342C" w:rsidRDefault="00DA5E4F" w:rsidP="001E342C">
            <w:pPr>
              <w:pStyle w:val="ListBullet"/>
            </w:pPr>
            <w:r w:rsidRPr="001E342C">
              <w:t>hardware</w:t>
            </w:r>
          </w:p>
          <w:p w:rsidR="00000000" w:rsidRPr="001E342C" w:rsidRDefault="00DA5E4F" w:rsidP="001E342C">
            <w:pPr>
              <w:pStyle w:val="ListBullet"/>
            </w:pPr>
            <w:r w:rsidRPr="001E342C">
              <w:t>timber</w:t>
            </w:r>
          </w:p>
          <w:p w:rsidR="00000000" w:rsidRPr="001E342C" w:rsidRDefault="00DA5E4F" w:rsidP="001E342C">
            <w:pPr>
              <w:pStyle w:val="ListBullet"/>
            </w:pPr>
            <w:r w:rsidRPr="001E342C">
              <w:t>masonry</w:t>
            </w:r>
          </w:p>
          <w:p w:rsidR="00000000" w:rsidRPr="001E342C" w:rsidRDefault="00DA5E4F" w:rsidP="001E342C">
            <w:pPr>
              <w:pStyle w:val="ListBullet"/>
            </w:pPr>
            <w:r w:rsidRPr="001E342C">
              <w:t>fibro cement</w:t>
            </w:r>
          </w:p>
          <w:p w:rsidR="00000000" w:rsidRPr="001E342C" w:rsidRDefault="00DA5E4F" w:rsidP="001E342C">
            <w:pPr>
              <w:pStyle w:val="ListBullet"/>
            </w:pPr>
            <w:r w:rsidRPr="001E342C">
              <w:t xml:space="preserve">concrete </w:t>
            </w:r>
          </w:p>
          <w:p w:rsidR="00000000" w:rsidRDefault="00DA5E4F" w:rsidP="001E342C">
            <w:pPr>
              <w:pStyle w:val="ListBullet"/>
              <w:rPr>
                <w:lang w:val="en-NZ"/>
              </w:rPr>
            </w:pPr>
            <w:r w:rsidRPr="001E342C">
              <w:t>treated pine</w:t>
            </w:r>
          </w:p>
        </w:tc>
      </w:tr>
      <w:tr w:rsidR="00000000" w:rsidRPr="001E342C" w:rsidTr="001E342C">
        <w:tc>
          <w:tcPr>
            <w:tcW w:w="276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rPr>
                <w:rStyle w:val="SpecialBold"/>
              </w:rPr>
              <w:t>Payment includes:</w:t>
            </w:r>
          </w:p>
        </w:tc>
        <w:tc>
          <w:tcPr>
            <w:tcW w:w="6312" w:type="dxa"/>
            <w:tcBorders>
              <w:top w:val="nil"/>
              <w:left w:val="nil"/>
              <w:bottom w:val="nil"/>
              <w:right w:val="nil"/>
            </w:tcBorders>
            <w:tcMar>
              <w:top w:w="0" w:type="dxa"/>
              <w:left w:w="62" w:type="dxa"/>
              <w:bottom w:w="0" w:type="dxa"/>
              <w:right w:w="62" w:type="dxa"/>
            </w:tcMar>
          </w:tcPr>
          <w:p w:rsidR="00000000" w:rsidRDefault="00DA5E4F" w:rsidP="001E342C">
            <w:pPr>
              <w:pStyle w:val="ListBullet"/>
              <w:rPr>
                <w:lang w:val="en-NZ"/>
              </w:rPr>
            </w:pPr>
            <w:r w:rsidRPr="001E342C">
              <w:t>cash, cheque or credit card depending on workplace practices</w:t>
            </w:r>
          </w:p>
        </w:tc>
      </w:tr>
      <w:tr w:rsidR="00000000" w:rsidRPr="001E342C" w:rsidTr="001E342C">
        <w:tc>
          <w:tcPr>
            <w:tcW w:w="2760" w:type="dxa"/>
            <w:tcBorders>
              <w:top w:val="nil"/>
              <w:left w:val="nil"/>
              <w:bottom w:val="nil"/>
              <w:right w:val="nil"/>
            </w:tcBorders>
            <w:tcMar>
              <w:top w:w="0" w:type="dxa"/>
              <w:left w:w="62" w:type="dxa"/>
              <w:bottom w:w="0" w:type="dxa"/>
              <w:right w:w="62" w:type="dxa"/>
            </w:tcMar>
          </w:tcPr>
          <w:p w:rsidR="00000000" w:rsidRDefault="00DA5E4F" w:rsidP="001E342C">
            <w:pPr>
              <w:pStyle w:val="BodyText"/>
              <w:rPr>
                <w:lang w:val="en-NZ"/>
              </w:rPr>
            </w:pPr>
            <w:r w:rsidRPr="001E342C">
              <w:rPr>
                <w:rStyle w:val="SpecialBold"/>
              </w:rPr>
              <w:t>Workplace documentation includes:</w:t>
            </w:r>
          </w:p>
        </w:tc>
        <w:tc>
          <w:tcPr>
            <w:tcW w:w="6312" w:type="dxa"/>
            <w:tcBorders>
              <w:top w:val="nil"/>
              <w:left w:val="nil"/>
              <w:bottom w:val="nil"/>
              <w:right w:val="nil"/>
            </w:tcBorders>
            <w:tcMar>
              <w:top w:w="0" w:type="dxa"/>
              <w:left w:w="62" w:type="dxa"/>
              <w:bottom w:w="0" w:type="dxa"/>
              <w:right w:w="62" w:type="dxa"/>
            </w:tcMar>
          </w:tcPr>
          <w:p w:rsidR="00000000" w:rsidRPr="001E342C" w:rsidRDefault="00DA5E4F" w:rsidP="001E342C">
            <w:pPr>
              <w:pStyle w:val="ListBullet"/>
            </w:pPr>
            <w:r w:rsidRPr="001E342C">
              <w:t>time sheets</w:t>
            </w:r>
          </w:p>
          <w:p w:rsidR="00000000" w:rsidRPr="001E342C" w:rsidRDefault="00DA5E4F" w:rsidP="001E342C">
            <w:pPr>
              <w:pStyle w:val="ListBullet"/>
            </w:pPr>
            <w:r w:rsidRPr="001E342C">
              <w:t>customer care cards</w:t>
            </w:r>
          </w:p>
          <w:p w:rsidR="00000000" w:rsidRPr="001E342C" w:rsidRDefault="00DA5E4F" w:rsidP="001E342C">
            <w:pPr>
              <w:pStyle w:val="ListBullet"/>
            </w:pPr>
            <w:r w:rsidRPr="001E342C">
              <w:t xml:space="preserve">work orders </w:t>
            </w:r>
          </w:p>
          <w:p w:rsidR="00000000" w:rsidRPr="001E342C" w:rsidRDefault="00DA5E4F" w:rsidP="001E342C">
            <w:pPr>
              <w:pStyle w:val="ListBullet"/>
            </w:pPr>
            <w:r w:rsidRPr="001E342C">
              <w:t>reports</w:t>
            </w:r>
          </w:p>
        </w:tc>
      </w:tr>
    </w:tbl>
    <w:p w:rsidR="00DA5E4F" w:rsidRDefault="00DA5E4F" w:rsidP="001E342C">
      <w:pPr>
        <w:pStyle w:val="BodyText"/>
      </w:pPr>
    </w:p>
    <w:p w:rsidR="00DA5E4F" w:rsidRDefault="00DA5E4F" w:rsidP="001E342C">
      <w:pPr>
        <w:pStyle w:val="BodyText"/>
      </w:pPr>
    </w:p>
    <w:p w:rsidR="00000000" w:rsidRPr="001E342C" w:rsidRDefault="00DA5E4F" w:rsidP="001E342C">
      <w:pPr>
        <w:pStyle w:val="Heading1"/>
      </w:pPr>
      <w:bookmarkStart w:id="9" w:name="O_630086"/>
      <w:bookmarkEnd w:id="9"/>
      <w:r w:rsidRPr="001E342C">
        <w:t>Unit Mapping Information</w:t>
      </w:r>
    </w:p>
    <w:p w:rsidR="00000000" w:rsidRPr="001E342C" w:rsidRDefault="00DA5E4F" w:rsidP="001E342C">
      <w:pPr>
        <w:pStyle w:val="BodyText"/>
      </w:pPr>
      <w:r w:rsidRPr="001E342C">
        <w:t>Supersedes and is equivalent to LMFBA3003A Install timber shutters</w:t>
      </w:r>
    </w:p>
    <w:p w:rsidR="00000000" w:rsidRPr="001E342C" w:rsidRDefault="00DA5E4F" w:rsidP="001E342C">
      <w:pPr>
        <w:pStyle w:val="AllowPageBreak"/>
      </w:pPr>
    </w:p>
    <w:p w:rsidR="00000000" w:rsidRPr="001E342C" w:rsidRDefault="00DA5E4F" w:rsidP="001E342C">
      <w:pPr>
        <w:pStyle w:val="Heading1"/>
      </w:pPr>
      <w:bookmarkStart w:id="10" w:name="O_630079"/>
      <w:bookmarkEnd w:id="10"/>
      <w:r w:rsidRPr="001E342C">
        <w:t>Links</w:t>
      </w:r>
    </w:p>
    <w:p w:rsidR="00000000" w:rsidRPr="001E342C" w:rsidRDefault="00DA5E4F" w:rsidP="001E342C">
      <w:pPr>
        <w:pStyle w:val="BodyText"/>
      </w:pPr>
      <w:r w:rsidRPr="001E342C">
        <w:t>Companion Volume implementation guides are found in VETNet - https://vetnet.education.gov.au/Pages/TrainingDocs.aspx?q=0601ab95-583a-4e93-b2d4-cfb27b03ed73</w:t>
      </w:r>
    </w:p>
    <w:p w:rsidR="00000000" w:rsidRPr="001E342C" w:rsidRDefault="00DA5E4F" w:rsidP="001E342C"/>
    <w:sectPr w:rsidR="00000000" w:rsidRPr="001E342C" w:rsidSect="001E342C">
      <w:headerReference w:type="default" r:id="rId13"/>
      <w:footerReference w:type="default" r:id="rId14"/>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42C" w:rsidRDefault="001E342C" w:rsidP="001E342C">
      <w:r>
        <w:separator/>
      </w:r>
    </w:p>
  </w:endnote>
  <w:endnote w:type="continuationSeparator" w:id="0">
    <w:p w:rsidR="001E342C" w:rsidRDefault="001E342C" w:rsidP="001E3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42C" w:rsidRDefault="001E342C">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42C" w:rsidRPr="00DA5E4F" w:rsidRDefault="001E342C" w:rsidP="00DA5E4F">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42C" w:rsidRDefault="001E342C">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E4F" w:rsidRDefault="00DA5E4F" w:rsidP="001E342C">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4</w:t>
      </w:r>
    </w:fldSimple>
  </w:p>
  <w:p w:rsidR="00DA5E4F" w:rsidRDefault="00DA5E4F" w:rsidP="001E342C">
    <w:pPr>
      <w:pStyle w:val="Footer"/>
      <w:framePr w:wrap="around"/>
    </w:pPr>
    <w:r>
      <w:t xml:space="preserve">© Commonwealth of Australia, </w:t>
    </w:r>
    <w:r>
      <w:fldChar w:fldCharType="begin"/>
    </w:r>
    <w:r>
      <w:instrText xml:space="preserve"> DATE  \@ "yyyy"  \* MERGEFORMAT </w:instrText>
    </w:r>
    <w:r>
      <w:fldChar w:fldCharType="separate"/>
    </w:r>
    <w:r>
      <w:rPr>
        <w:noProof/>
      </w:rPr>
      <w:t>2018</w:t>
    </w:r>
    <w:r>
      <w:fldChar w:fldCharType="end"/>
    </w:r>
    <w:r>
      <w:tab/>
    </w:r>
    <w:fldSimple w:instr=" DOCPROPERTY  Author  \* MERGEFORMAT ">
      <w:r>
        <w:t>Innovation and Business Skills Australia</w:t>
      </w:r>
    </w:fldSimple>
  </w:p>
  <w:p w:rsidR="00DA5E4F" w:rsidRDefault="00DA5E4F" w:rsidP="001E342C">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42C" w:rsidRDefault="001E342C" w:rsidP="001E342C">
      <w:r>
        <w:separator/>
      </w:r>
    </w:p>
  </w:footnote>
  <w:footnote w:type="continuationSeparator" w:id="0">
    <w:p w:rsidR="001E342C" w:rsidRDefault="001E342C" w:rsidP="001E34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42C" w:rsidRDefault="001E342C">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E4F" w:rsidRDefault="00DA5E4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8958792" wp14:editId="4B7EE340">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1E342C" w:rsidRPr="00DA5E4F" w:rsidRDefault="001E342C" w:rsidP="00DA5E4F">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42C" w:rsidRDefault="001E342C">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E4F" w:rsidRPr="002D2AF8" w:rsidRDefault="00DA5E4F" w:rsidP="001E342C">
    <w:pPr>
      <w:pStyle w:val="Header"/>
      <w:framePr w:wrap="around"/>
    </w:pPr>
    <w:fldSimple w:instr=" TITLE   \* MERGEFORMAT ">
      <w:r>
        <w:t>MSFBA3003 Install timber shutters</w:t>
      </w:r>
    </w:fldSimple>
    <w:r>
      <w:tab/>
      <w:t xml:space="preserve">Date this document was generated: </w:t>
    </w:r>
    <w:r>
      <w:fldChar w:fldCharType="begin"/>
    </w:r>
    <w:r>
      <w:instrText xml:space="preserve"> CREATEDATE  \@ "d MMMM yyyy"  \* MERGEFORMAT </w:instrText>
    </w:r>
    <w:r>
      <w:fldChar w:fldCharType="separate"/>
    </w:r>
    <w:r>
      <w:rPr>
        <w:noProof/>
      </w:rPr>
      <w:t>3 December 2018</w:t>
    </w:r>
    <w:r>
      <w:fldChar w:fldCharType="end"/>
    </w:r>
  </w:p>
  <w:p w:rsidR="00DA5E4F" w:rsidRDefault="00DA5E4F" w:rsidP="001E342C">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73F043E8"/>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AF0276C0"/>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12"/>
  </w:num>
  <w:num w:numId="11">
    <w:abstractNumId w:val="8"/>
  </w:num>
  <w:num w:numId="12">
    <w:abstractNumId w:val="11"/>
  </w:num>
  <w:num w:numId="13">
    <w:abstractNumId w:val="9"/>
  </w:num>
  <w:num w:numId="14">
    <w:abstractNumId w:val="5"/>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E342C"/>
    <w:rsid w:val="001E342C"/>
    <w:rsid w:val="00DA5E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42C"/>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E342C"/>
    <w:pPr>
      <w:spacing w:before="360" w:after="60"/>
      <w:outlineLvl w:val="0"/>
    </w:pPr>
    <w:rPr>
      <w:sz w:val="32"/>
    </w:rPr>
  </w:style>
  <w:style w:type="paragraph" w:styleId="Heading2">
    <w:name w:val="heading 2"/>
    <w:basedOn w:val="HeadingBase"/>
    <w:next w:val="BodyText"/>
    <w:link w:val="Heading2Char"/>
    <w:qFormat/>
    <w:rsid w:val="001E342C"/>
    <w:pPr>
      <w:keepLines/>
      <w:spacing w:before="240" w:after="120"/>
      <w:outlineLvl w:val="1"/>
    </w:pPr>
    <w:rPr>
      <w:sz w:val="28"/>
      <w:szCs w:val="40"/>
    </w:rPr>
  </w:style>
  <w:style w:type="paragraph" w:styleId="Heading3">
    <w:name w:val="heading 3"/>
    <w:basedOn w:val="HeadingBase"/>
    <w:next w:val="BodyText"/>
    <w:link w:val="Heading3Char"/>
    <w:qFormat/>
    <w:rsid w:val="001E342C"/>
    <w:pPr>
      <w:spacing w:before="180" w:after="120"/>
      <w:outlineLvl w:val="2"/>
    </w:pPr>
    <w:rPr>
      <w:spacing w:val="-10"/>
      <w:kern w:val="32"/>
    </w:rPr>
  </w:style>
  <w:style w:type="paragraph" w:styleId="Heading4">
    <w:name w:val="heading 4"/>
    <w:basedOn w:val="HeadingBase"/>
    <w:next w:val="BodyText"/>
    <w:link w:val="Heading4Char"/>
    <w:qFormat/>
    <w:rsid w:val="001E342C"/>
    <w:pPr>
      <w:spacing w:before="160" w:after="120"/>
      <w:outlineLvl w:val="3"/>
    </w:pPr>
    <w:rPr>
      <w:sz w:val="22"/>
    </w:rPr>
  </w:style>
  <w:style w:type="paragraph" w:styleId="Heading5">
    <w:name w:val="heading 5"/>
    <w:basedOn w:val="HeadingBase"/>
    <w:next w:val="Normal"/>
    <w:link w:val="Heading5Char"/>
    <w:qFormat/>
    <w:rsid w:val="001E342C"/>
    <w:pPr>
      <w:spacing w:before="80"/>
      <w:outlineLvl w:val="4"/>
    </w:pPr>
    <w:rPr>
      <w:color w:val="918585"/>
      <w:sz w:val="20"/>
    </w:rPr>
  </w:style>
  <w:style w:type="paragraph" w:styleId="Heading6">
    <w:name w:val="heading 6"/>
    <w:basedOn w:val="HeadingBase"/>
    <w:next w:val="Normal"/>
    <w:link w:val="Heading6Char"/>
    <w:qFormat/>
    <w:rsid w:val="001E342C"/>
    <w:pPr>
      <w:spacing w:before="60"/>
      <w:outlineLvl w:val="5"/>
    </w:pPr>
    <w:rPr>
      <w:color w:val="918585"/>
      <w:sz w:val="20"/>
    </w:rPr>
  </w:style>
  <w:style w:type="paragraph" w:styleId="Heading7">
    <w:name w:val="heading 7"/>
    <w:basedOn w:val="Normal"/>
    <w:next w:val="Normal"/>
    <w:link w:val="Heading7Char"/>
    <w:qFormat/>
    <w:rsid w:val="001E342C"/>
    <w:pPr>
      <w:ind w:left="720"/>
      <w:outlineLvl w:val="6"/>
    </w:pPr>
    <w:rPr>
      <w:i/>
    </w:rPr>
  </w:style>
  <w:style w:type="paragraph" w:styleId="Heading8">
    <w:name w:val="heading 8"/>
    <w:basedOn w:val="Normal"/>
    <w:next w:val="Normal"/>
    <w:link w:val="Heading8Char"/>
    <w:qFormat/>
    <w:rsid w:val="001E342C"/>
    <w:pPr>
      <w:ind w:left="720"/>
      <w:outlineLvl w:val="7"/>
    </w:pPr>
    <w:rPr>
      <w:i/>
    </w:rPr>
  </w:style>
  <w:style w:type="paragraph" w:styleId="Heading9">
    <w:name w:val="heading 9"/>
    <w:basedOn w:val="Normal"/>
    <w:next w:val="Normal"/>
    <w:link w:val="Heading9Char"/>
    <w:qFormat/>
    <w:rsid w:val="001E342C"/>
    <w:pPr>
      <w:ind w:left="720"/>
      <w:outlineLvl w:val="8"/>
    </w:pPr>
    <w:rPr>
      <w:i/>
    </w:rPr>
  </w:style>
  <w:style w:type="character" w:default="1" w:styleId="DefaultParagraphFont">
    <w:name w:val="Default Paragraph Font"/>
    <w:uiPriority w:val="1"/>
    <w:unhideWhenUsed/>
    <w:rsid w:val="001E342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E342C"/>
  </w:style>
  <w:style w:type="character" w:customStyle="1" w:styleId="Heading1Char">
    <w:name w:val="Heading 1 Char"/>
    <w:basedOn w:val="DefaultParagraphFont"/>
    <w:link w:val="Heading1"/>
    <w:rsid w:val="001E342C"/>
    <w:rPr>
      <w:rFonts w:ascii="Times New Roman" w:eastAsia="Times New Roman" w:hAnsi="Times New Roman" w:cs="Times New Roman"/>
      <w:b/>
      <w:sz w:val="32"/>
      <w:szCs w:val="20"/>
      <w:lang w:eastAsia="en-US"/>
    </w:rPr>
  </w:style>
  <w:style w:type="paragraph" w:styleId="BodyText">
    <w:name w:val="Body Text"/>
    <w:basedOn w:val="Normal"/>
    <w:link w:val="BodyTextChar"/>
    <w:rsid w:val="001E342C"/>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E342C"/>
    <w:rPr>
      <w:rFonts w:ascii="Times New Roman" w:eastAsia="Times New Roman" w:hAnsi="Times New Roman" w:cs="Times New Roman"/>
      <w:sz w:val="24"/>
      <w:lang w:eastAsia="en-US"/>
    </w:rPr>
  </w:style>
  <w:style w:type="paragraph" w:styleId="ListBullet">
    <w:name w:val="List Bullet"/>
    <w:basedOn w:val="List"/>
    <w:rsid w:val="001E342C"/>
    <w:pPr>
      <w:numPr>
        <w:numId w:val="12"/>
      </w:numPr>
      <w:tabs>
        <w:tab w:val="clear" w:pos="340"/>
      </w:tabs>
      <w:spacing w:before="40" w:after="40"/>
    </w:pPr>
  </w:style>
  <w:style w:type="character" w:customStyle="1" w:styleId="SpecialBold">
    <w:name w:val="Special Bold"/>
    <w:basedOn w:val="DefaultParagraphFont"/>
    <w:rsid w:val="001E342C"/>
    <w:rPr>
      <w:b/>
      <w:spacing w:val="0"/>
    </w:rPr>
  </w:style>
  <w:style w:type="paragraph" w:customStyle="1" w:styleId="SuperHeading">
    <w:name w:val="SuperHeading"/>
    <w:basedOn w:val="Normal"/>
    <w:rsid w:val="001E342C"/>
    <w:pPr>
      <w:spacing w:before="240" w:after="120"/>
      <w:outlineLvl w:val="0"/>
    </w:pPr>
    <w:rPr>
      <w:rFonts w:ascii="Times New Roman" w:hAnsi="Times New Roman"/>
      <w:b/>
      <w:sz w:val="32"/>
    </w:rPr>
  </w:style>
  <w:style w:type="paragraph" w:customStyle="1" w:styleId="AllowPageBreak">
    <w:name w:val="AllowPageBreak"/>
    <w:rsid w:val="001E342C"/>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1E342C"/>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E342C"/>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E342C"/>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E342C"/>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E342C"/>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E342C"/>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E342C"/>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E342C"/>
    <w:rPr>
      <w:rFonts w:ascii="Courier New" w:eastAsia="Times New Roman" w:hAnsi="Courier New" w:cs="Times New Roman"/>
      <w:i/>
      <w:szCs w:val="20"/>
      <w:lang w:eastAsia="en-US"/>
    </w:rPr>
  </w:style>
  <w:style w:type="paragraph" w:customStyle="1" w:styleId="HeadingBase">
    <w:name w:val="Heading Base"/>
    <w:rsid w:val="001E342C"/>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E342C"/>
    <w:pPr>
      <w:tabs>
        <w:tab w:val="right" w:leader="dot" w:pos="9072"/>
      </w:tabs>
      <w:ind w:left="567"/>
    </w:pPr>
    <w:rPr>
      <w:szCs w:val="22"/>
    </w:rPr>
  </w:style>
  <w:style w:type="paragraph" w:customStyle="1" w:styleId="TOCBase">
    <w:name w:val="TOC Base"/>
    <w:rsid w:val="001E342C"/>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E342C"/>
    <w:pPr>
      <w:tabs>
        <w:tab w:val="right" w:leader="dot" w:pos="9072"/>
      </w:tabs>
      <w:spacing w:before="40" w:after="40"/>
      <w:ind w:left="284"/>
    </w:pPr>
    <w:rPr>
      <w:rFonts w:ascii="Times New Roman" w:hAnsi="Times New Roman"/>
    </w:rPr>
  </w:style>
  <w:style w:type="paragraph" w:styleId="TOC1">
    <w:name w:val="toc 1"/>
    <w:basedOn w:val="TOCBase"/>
    <w:next w:val="Normal"/>
    <w:rsid w:val="001E342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E342C"/>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E342C"/>
    <w:rPr>
      <w:rFonts w:ascii="Times New Roman" w:eastAsia="Times New Roman" w:hAnsi="Times New Roman" w:cs="Times New Roman"/>
      <w:sz w:val="16"/>
      <w:lang w:eastAsia="en-US"/>
    </w:rPr>
  </w:style>
  <w:style w:type="paragraph" w:styleId="Title">
    <w:name w:val="Title"/>
    <w:basedOn w:val="HeadingBase"/>
    <w:link w:val="TitleChar"/>
    <w:qFormat/>
    <w:rsid w:val="001E342C"/>
    <w:pPr>
      <w:spacing w:before="5040"/>
      <w:jc w:val="center"/>
    </w:pPr>
    <w:rPr>
      <w:sz w:val="48"/>
      <w:szCs w:val="72"/>
      <w:lang w:val="en-US"/>
    </w:rPr>
  </w:style>
  <w:style w:type="character" w:customStyle="1" w:styleId="TitleChar">
    <w:name w:val="Title Char"/>
    <w:basedOn w:val="DefaultParagraphFont"/>
    <w:link w:val="Title"/>
    <w:rsid w:val="001E342C"/>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E342C"/>
    <w:pPr>
      <w:tabs>
        <w:tab w:val="left" w:pos="3600"/>
        <w:tab w:val="left" w:pos="3958"/>
      </w:tabs>
    </w:pPr>
  </w:style>
  <w:style w:type="paragraph" w:styleId="List">
    <w:name w:val="List"/>
    <w:basedOn w:val="BodyText"/>
    <w:next w:val="BodyText"/>
    <w:rsid w:val="001E342C"/>
    <w:pPr>
      <w:tabs>
        <w:tab w:val="left" w:pos="340"/>
      </w:tabs>
      <w:spacing w:before="60" w:after="60"/>
      <w:ind w:left="340" w:hanging="340"/>
    </w:pPr>
  </w:style>
  <w:style w:type="paragraph" w:customStyle="1" w:styleId="Note">
    <w:name w:val="Note"/>
    <w:basedOn w:val="BodyText"/>
    <w:rsid w:val="001E342C"/>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E342C"/>
    <w:pPr>
      <w:framePr w:wrap="auto" w:hAnchor="text" w:y="6049"/>
    </w:pPr>
    <w:rPr>
      <w:color w:val="000000"/>
      <w:sz w:val="40"/>
    </w:rPr>
  </w:style>
  <w:style w:type="paragraph" w:customStyle="1" w:styleId="TOCTitle">
    <w:name w:val="TOCTitle"/>
    <w:basedOn w:val="Heading1"/>
    <w:rsid w:val="001E342C"/>
    <w:pPr>
      <w:spacing w:after="240"/>
      <w:jc w:val="center"/>
      <w:outlineLvl w:val="9"/>
    </w:pPr>
    <w:rPr>
      <w:caps/>
    </w:rPr>
  </w:style>
  <w:style w:type="paragraph" w:customStyle="1" w:styleId="Version">
    <w:name w:val="Version"/>
    <w:rsid w:val="001E342C"/>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1E342C"/>
    <w:pPr>
      <w:numPr>
        <w:numId w:val="13"/>
      </w:numPr>
      <w:tabs>
        <w:tab w:val="clear" w:pos="680"/>
      </w:tabs>
    </w:pPr>
  </w:style>
  <w:style w:type="paragraph" w:styleId="Index1">
    <w:name w:val="index 1"/>
    <w:basedOn w:val="Normal"/>
    <w:next w:val="Normal"/>
    <w:semiHidden/>
    <w:rsid w:val="001E342C"/>
    <w:pPr>
      <w:keepNext w:val="0"/>
      <w:tabs>
        <w:tab w:val="right" w:pos="4176"/>
      </w:tabs>
      <w:ind w:left="198" w:hanging="198"/>
    </w:pPr>
    <w:rPr>
      <w:rFonts w:ascii="Garamond" w:hAnsi="Garamond"/>
    </w:rPr>
  </w:style>
  <w:style w:type="paragraph" w:styleId="IndexHeading">
    <w:name w:val="index heading"/>
    <w:basedOn w:val="Normal"/>
    <w:next w:val="Index1"/>
    <w:semiHidden/>
    <w:rsid w:val="001E342C"/>
    <w:pPr>
      <w:spacing w:before="120" w:after="120"/>
    </w:pPr>
    <w:rPr>
      <w:rFonts w:ascii="Arial" w:hAnsi="Arial"/>
      <w:b/>
      <w:color w:val="918585"/>
      <w:sz w:val="24"/>
    </w:rPr>
  </w:style>
  <w:style w:type="paragraph" w:styleId="Header">
    <w:name w:val="header"/>
    <w:basedOn w:val="Normal"/>
    <w:link w:val="HeaderChar"/>
    <w:rsid w:val="001E342C"/>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E342C"/>
    <w:rPr>
      <w:rFonts w:ascii="Times New Roman" w:eastAsia="Times New Roman" w:hAnsi="Times New Roman" w:cs="Times New Roman"/>
      <w:sz w:val="16"/>
      <w:szCs w:val="20"/>
      <w:lang w:val="en-GB" w:eastAsia="en-US"/>
    </w:rPr>
  </w:style>
  <w:style w:type="paragraph" w:customStyle="1" w:styleId="Chapter">
    <w:name w:val="Chapter"/>
    <w:basedOn w:val="Normal"/>
    <w:rsid w:val="001E342C"/>
    <w:pPr>
      <w:spacing w:before="240"/>
    </w:pPr>
    <w:rPr>
      <w:rFonts w:ascii="Times New Roman" w:hAnsi="Times New Roman"/>
      <w:smallCaps/>
      <w:spacing w:val="80"/>
      <w:sz w:val="28"/>
    </w:rPr>
  </w:style>
  <w:style w:type="paragraph" w:customStyle="1" w:styleId="InChapter">
    <w:name w:val="InChapter"/>
    <w:basedOn w:val="Heading3"/>
    <w:rsid w:val="001E342C"/>
    <w:pPr>
      <w:spacing w:after="240"/>
      <w:outlineLvl w:val="9"/>
    </w:pPr>
    <w:rPr>
      <w:noProof/>
    </w:rPr>
  </w:style>
  <w:style w:type="paragraph" w:styleId="Index2">
    <w:name w:val="index 2"/>
    <w:basedOn w:val="Normal"/>
    <w:next w:val="Normal"/>
    <w:semiHidden/>
    <w:rsid w:val="001E342C"/>
    <w:pPr>
      <w:tabs>
        <w:tab w:val="right" w:pos="4176"/>
      </w:tabs>
      <w:ind w:left="568" w:hanging="284"/>
    </w:pPr>
    <w:rPr>
      <w:rFonts w:ascii="Garamond" w:hAnsi="Garamond"/>
    </w:rPr>
  </w:style>
  <w:style w:type="paragraph" w:customStyle="1" w:styleId="Byline">
    <w:name w:val="Byline"/>
    <w:rsid w:val="001E342C"/>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E342C"/>
    <w:pPr>
      <w:tabs>
        <w:tab w:val="clear" w:pos="3600"/>
        <w:tab w:val="clear" w:pos="3958"/>
      </w:tabs>
      <w:jc w:val="right"/>
    </w:pPr>
  </w:style>
  <w:style w:type="character" w:styleId="Emphasis">
    <w:name w:val="Emphasis"/>
    <w:basedOn w:val="DefaultParagraphFont"/>
    <w:qFormat/>
    <w:rsid w:val="001E342C"/>
    <w:rPr>
      <w:i/>
    </w:rPr>
  </w:style>
  <w:style w:type="paragraph" w:styleId="Caption">
    <w:name w:val="caption"/>
    <w:basedOn w:val="BodyText"/>
    <w:next w:val="Normal"/>
    <w:qFormat/>
    <w:rsid w:val="001E342C"/>
    <w:pPr>
      <w:framePr w:w="2268" w:hSpace="181" w:vSpace="181" w:wrap="around" w:vAnchor="text" w:hAnchor="page" w:x="1135" w:y="285" w:anchorLock="1"/>
    </w:pPr>
    <w:rPr>
      <w:i/>
    </w:rPr>
  </w:style>
  <w:style w:type="paragraph" w:customStyle="1" w:styleId="MiniTOCTitle">
    <w:name w:val="MiniTOCTitle"/>
    <w:basedOn w:val="Heading4"/>
    <w:rsid w:val="001E342C"/>
    <w:pPr>
      <w:spacing w:before="240"/>
      <w:outlineLvl w:val="9"/>
    </w:pPr>
    <w:rPr>
      <w:noProof/>
      <w:sz w:val="24"/>
    </w:rPr>
  </w:style>
  <w:style w:type="paragraph" w:customStyle="1" w:styleId="MiniTOCItem">
    <w:name w:val="MiniTOCItem"/>
    <w:basedOn w:val="ListBullet"/>
    <w:rsid w:val="001E342C"/>
    <w:pPr>
      <w:numPr>
        <w:numId w:val="0"/>
      </w:numPr>
      <w:tabs>
        <w:tab w:val="right" w:leader="dot" w:pos="6521"/>
      </w:tabs>
      <w:spacing w:before="0" w:after="0"/>
    </w:pPr>
  </w:style>
  <w:style w:type="paragraph" w:customStyle="1" w:styleId="TOFTitle">
    <w:name w:val="TOFTitle"/>
    <w:basedOn w:val="TOCTitle"/>
    <w:rsid w:val="001E342C"/>
  </w:style>
  <w:style w:type="paragraph" w:styleId="TableofFigures">
    <w:name w:val="table of figures"/>
    <w:basedOn w:val="Normal"/>
    <w:next w:val="Normal"/>
    <w:semiHidden/>
    <w:rsid w:val="001E342C"/>
    <w:pPr>
      <w:tabs>
        <w:tab w:val="right" w:leader="dot" w:pos="9072"/>
      </w:tabs>
      <w:ind w:left="970" w:hanging="403"/>
    </w:pPr>
    <w:rPr>
      <w:rFonts w:ascii="Times New Roman" w:hAnsi="Times New Roman"/>
      <w:b/>
    </w:rPr>
  </w:style>
  <w:style w:type="paragraph" w:styleId="ListNumber">
    <w:name w:val="List Number"/>
    <w:basedOn w:val="List"/>
    <w:rsid w:val="001E342C"/>
    <w:pPr>
      <w:numPr>
        <w:numId w:val="10"/>
      </w:numPr>
    </w:pPr>
  </w:style>
  <w:style w:type="character" w:customStyle="1" w:styleId="WingdingSymbols">
    <w:name w:val="Wingding Symbols"/>
    <w:rsid w:val="001E342C"/>
    <w:rPr>
      <w:rFonts w:ascii="Wingdings" w:hAnsi="Wingdings"/>
    </w:rPr>
  </w:style>
  <w:style w:type="paragraph" w:customStyle="1" w:styleId="TableHeading">
    <w:name w:val="Table Heading"/>
    <w:basedOn w:val="HeadingBase"/>
    <w:rsid w:val="001E342C"/>
    <w:pPr>
      <w:keepLines/>
      <w:pBdr>
        <w:bottom w:val="single" w:sz="6" w:space="1" w:color="918585"/>
      </w:pBdr>
      <w:spacing w:before="240"/>
    </w:pPr>
  </w:style>
  <w:style w:type="character" w:customStyle="1" w:styleId="HotSpot">
    <w:name w:val="HotSpot"/>
    <w:rsid w:val="001E342C"/>
    <w:rPr>
      <w:color w:val="0033CC"/>
      <w:u w:val="none"/>
    </w:rPr>
  </w:style>
  <w:style w:type="paragraph" w:customStyle="1" w:styleId="BodyTextRight">
    <w:name w:val="Body Text Right"/>
    <w:basedOn w:val="BodyText"/>
    <w:rsid w:val="001E342C"/>
    <w:pPr>
      <w:spacing w:before="0" w:after="0"/>
      <w:jc w:val="right"/>
    </w:pPr>
  </w:style>
  <w:style w:type="paragraph" w:styleId="Index3">
    <w:name w:val="index 3"/>
    <w:basedOn w:val="ListNumber2"/>
    <w:next w:val="Normal"/>
    <w:semiHidden/>
    <w:rsid w:val="001E342C"/>
    <w:pPr>
      <w:numPr>
        <w:numId w:val="0"/>
      </w:numPr>
      <w:tabs>
        <w:tab w:val="right" w:leader="dot" w:pos="4176"/>
      </w:tabs>
    </w:pPr>
  </w:style>
  <w:style w:type="paragraph" w:styleId="ListNumber2">
    <w:name w:val="List Number 2"/>
    <w:basedOn w:val="List2"/>
    <w:rsid w:val="001E342C"/>
    <w:pPr>
      <w:numPr>
        <w:numId w:val="9"/>
      </w:numPr>
      <w:tabs>
        <w:tab w:val="clear" w:pos="1060"/>
      </w:tabs>
    </w:pPr>
  </w:style>
  <w:style w:type="paragraph" w:customStyle="1" w:styleId="MarginNote">
    <w:name w:val="Margin Note"/>
    <w:basedOn w:val="BodyText"/>
    <w:rsid w:val="001E342C"/>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E342C"/>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E342C"/>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E342C"/>
    <w:rPr>
      <w:sz w:val="32"/>
    </w:rPr>
  </w:style>
  <w:style w:type="paragraph" w:customStyle="1" w:styleId="HeadingProcedure">
    <w:name w:val="Heading Procedure"/>
    <w:basedOn w:val="HeadingBase"/>
    <w:next w:val="Normal"/>
    <w:rsid w:val="001E342C"/>
    <w:pPr>
      <w:tabs>
        <w:tab w:val="left" w:pos="0"/>
      </w:tabs>
      <w:spacing w:before="120" w:after="60"/>
    </w:pPr>
    <w:rPr>
      <w:i/>
      <w:color w:val="918585"/>
      <w:sz w:val="22"/>
    </w:rPr>
  </w:style>
  <w:style w:type="paragraph" w:customStyle="1" w:styleId="TableBodyText">
    <w:name w:val="Table Body Text"/>
    <w:basedOn w:val="BodyText"/>
    <w:rsid w:val="001E342C"/>
    <w:pPr>
      <w:spacing w:before="60" w:after="60"/>
    </w:pPr>
  </w:style>
  <w:style w:type="paragraph" w:styleId="ListContinue">
    <w:name w:val="List Continue"/>
    <w:basedOn w:val="List"/>
    <w:rsid w:val="001E342C"/>
    <w:pPr>
      <w:ind w:firstLine="0"/>
    </w:pPr>
  </w:style>
  <w:style w:type="paragraph" w:customStyle="1" w:styleId="ListNote">
    <w:name w:val="List Note"/>
    <w:basedOn w:val="List"/>
    <w:rsid w:val="001E342C"/>
    <w:pPr>
      <w:pBdr>
        <w:top w:val="single" w:sz="6" w:space="2" w:color="918585"/>
        <w:bottom w:val="single" w:sz="6" w:space="2" w:color="918585"/>
      </w:pBdr>
      <w:tabs>
        <w:tab w:val="left" w:pos="1021"/>
      </w:tabs>
      <w:ind w:firstLine="0"/>
    </w:pPr>
  </w:style>
  <w:style w:type="paragraph" w:customStyle="1" w:styleId="Warning">
    <w:name w:val="Warning"/>
    <w:basedOn w:val="BodyText"/>
    <w:rsid w:val="001E342C"/>
    <w:pPr>
      <w:shd w:val="clear" w:color="auto" w:fill="D9D9D9"/>
      <w:tabs>
        <w:tab w:val="left" w:pos="992"/>
      </w:tabs>
      <w:ind w:left="119" w:right="119"/>
    </w:pPr>
    <w:rPr>
      <w:sz w:val="20"/>
    </w:rPr>
  </w:style>
  <w:style w:type="paragraph" w:customStyle="1" w:styleId="MarginIcons">
    <w:name w:val="Margin Icons"/>
    <w:basedOn w:val="BodyText"/>
    <w:rsid w:val="001E342C"/>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E342C"/>
    <w:rPr>
      <w:rFonts w:ascii="Courier New" w:hAnsi="Courier New"/>
    </w:rPr>
  </w:style>
  <w:style w:type="paragraph" w:customStyle="1" w:styleId="NoteBullet">
    <w:name w:val="Note Bullet"/>
    <w:basedOn w:val="Note"/>
    <w:rsid w:val="001E342C"/>
    <w:pPr>
      <w:tabs>
        <w:tab w:val="clear" w:pos="680"/>
      </w:tabs>
      <w:spacing w:before="60" w:after="60"/>
    </w:pPr>
  </w:style>
  <w:style w:type="paragraph" w:customStyle="1" w:styleId="SubHeading2">
    <w:name w:val="SubHeading2"/>
    <w:basedOn w:val="HeadingBase"/>
    <w:rsid w:val="001E342C"/>
    <w:pPr>
      <w:spacing w:before="240" w:after="60"/>
    </w:pPr>
    <w:rPr>
      <w:sz w:val="20"/>
    </w:rPr>
  </w:style>
  <w:style w:type="paragraph" w:customStyle="1" w:styleId="SubHeading1">
    <w:name w:val="SubHeading1"/>
    <w:basedOn w:val="HeadingBase"/>
    <w:rsid w:val="001E342C"/>
    <w:pPr>
      <w:spacing w:before="240" w:after="60"/>
    </w:pPr>
    <w:rPr>
      <w:color w:val="918585"/>
      <w:sz w:val="22"/>
    </w:rPr>
  </w:style>
  <w:style w:type="paragraph" w:customStyle="1" w:styleId="SideHeading">
    <w:name w:val="Side Heading"/>
    <w:basedOn w:val="HeadingBase"/>
    <w:rsid w:val="001E342C"/>
    <w:pPr>
      <w:framePr w:w="2268" w:h="567" w:hSpace="181" w:vSpace="181" w:wrap="around" w:vAnchor="text" w:hAnchor="page" w:x="1419" w:y="370" w:anchorLock="1"/>
    </w:pPr>
    <w:rPr>
      <w:sz w:val="22"/>
    </w:rPr>
  </w:style>
  <w:style w:type="paragraph" w:customStyle="1" w:styleId="TableListBullet">
    <w:name w:val="Table List Bullet"/>
    <w:basedOn w:val="ListBullet"/>
    <w:rsid w:val="001E342C"/>
    <w:pPr>
      <w:tabs>
        <w:tab w:val="num" w:pos="360"/>
      </w:tabs>
    </w:pPr>
  </w:style>
  <w:style w:type="paragraph" w:styleId="PlainText">
    <w:name w:val="Plain Text"/>
    <w:basedOn w:val="Normal"/>
    <w:link w:val="PlainTextChar"/>
    <w:rsid w:val="001E342C"/>
    <w:rPr>
      <w:sz w:val="20"/>
    </w:rPr>
  </w:style>
  <w:style w:type="character" w:customStyle="1" w:styleId="PlainTextChar">
    <w:name w:val="Plain Text Char"/>
    <w:basedOn w:val="DefaultParagraphFont"/>
    <w:link w:val="PlainText"/>
    <w:rsid w:val="001E342C"/>
    <w:rPr>
      <w:rFonts w:ascii="Courier New" w:eastAsia="Times New Roman" w:hAnsi="Courier New" w:cs="Times New Roman"/>
      <w:sz w:val="20"/>
      <w:szCs w:val="20"/>
      <w:lang w:eastAsia="en-US"/>
    </w:rPr>
  </w:style>
  <w:style w:type="character" w:customStyle="1" w:styleId="MenuOption">
    <w:name w:val="Menu Option"/>
    <w:basedOn w:val="DefaultParagraphFont"/>
    <w:rsid w:val="001E342C"/>
    <w:rPr>
      <w:b/>
      <w:smallCaps/>
    </w:rPr>
  </w:style>
  <w:style w:type="paragraph" w:customStyle="1" w:styleId="TableListNumber">
    <w:name w:val="Table List Number"/>
    <w:basedOn w:val="ListNumber"/>
    <w:rsid w:val="001E342C"/>
    <w:pPr>
      <w:numPr>
        <w:numId w:val="0"/>
      </w:numPr>
    </w:pPr>
  </w:style>
  <w:style w:type="paragraph" w:styleId="TOC4">
    <w:name w:val="toc 4"/>
    <w:basedOn w:val="TOCBase"/>
    <w:next w:val="Normal"/>
    <w:semiHidden/>
    <w:rsid w:val="001E342C"/>
    <w:pPr>
      <w:tabs>
        <w:tab w:val="right" w:leader="dot" w:pos="9071"/>
      </w:tabs>
      <w:ind w:left="1701"/>
    </w:pPr>
  </w:style>
  <w:style w:type="paragraph" w:customStyle="1" w:styleId="ListAlpha">
    <w:name w:val="List Alpha"/>
    <w:basedOn w:val="List"/>
    <w:rsid w:val="001E342C"/>
    <w:pPr>
      <w:numPr>
        <w:numId w:val="8"/>
      </w:numPr>
    </w:pPr>
  </w:style>
  <w:style w:type="paragraph" w:customStyle="1" w:styleId="ListAlpha2">
    <w:name w:val="List Alpha 2"/>
    <w:basedOn w:val="List2"/>
    <w:rsid w:val="001E342C"/>
    <w:pPr>
      <w:numPr>
        <w:numId w:val="7"/>
      </w:numPr>
    </w:pPr>
  </w:style>
  <w:style w:type="paragraph" w:styleId="List2">
    <w:name w:val="List 2"/>
    <w:basedOn w:val="BodyText"/>
    <w:rsid w:val="001E342C"/>
    <w:pPr>
      <w:tabs>
        <w:tab w:val="left" w:pos="680"/>
      </w:tabs>
      <w:spacing w:before="60" w:after="60"/>
      <w:ind w:left="680" w:hanging="340"/>
    </w:pPr>
  </w:style>
  <w:style w:type="paragraph" w:styleId="List3">
    <w:name w:val="List 3"/>
    <w:basedOn w:val="BodyText"/>
    <w:rsid w:val="001E342C"/>
    <w:pPr>
      <w:tabs>
        <w:tab w:val="left" w:pos="1021"/>
      </w:tabs>
      <w:spacing w:before="60" w:after="60"/>
      <w:ind w:left="1020" w:hanging="340"/>
    </w:pPr>
  </w:style>
  <w:style w:type="paragraph" w:styleId="List4">
    <w:name w:val="List 4"/>
    <w:basedOn w:val="BodyText"/>
    <w:rsid w:val="001E342C"/>
    <w:pPr>
      <w:tabs>
        <w:tab w:val="left" w:pos="1361"/>
      </w:tabs>
      <w:spacing w:before="60" w:after="60"/>
      <w:ind w:left="1361" w:hanging="340"/>
    </w:pPr>
  </w:style>
  <w:style w:type="paragraph" w:styleId="List5">
    <w:name w:val="List 5"/>
    <w:basedOn w:val="BodyText"/>
    <w:rsid w:val="001E342C"/>
    <w:pPr>
      <w:tabs>
        <w:tab w:val="left" w:pos="1701"/>
      </w:tabs>
      <w:spacing w:before="60" w:after="60"/>
      <w:ind w:left="1701" w:hanging="340"/>
    </w:pPr>
  </w:style>
  <w:style w:type="paragraph" w:styleId="ListBullet3">
    <w:name w:val="List Bullet 3"/>
    <w:basedOn w:val="List3"/>
    <w:rsid w:val="001E342C"/>
    <w:pPr>
      <w:numPr>
        <w:numId w:val="14"/>
      </w:numPr>
      <w:tabs>
        <w:tab w:val="clear" w:pos="1021"/>
      </w:tabs>
      <w:ind w:left="1037" w:hanging="357"/>
    </w:pPr>
  </w:style>
  <w:style w:type="paragraph" w:styleId="ListBullet4">
    <w:name w:val="List Bullet 4"/>
    <w:basedOn w:val="List4"/>
    <w:rsid w:val="001E342C"/>
    <w:pPr>
      <w:numPr>
        <w:numId w:val="2"/>
      </w:numPr>
      <w:tabs>
        <w:tab w:val="clear" w:pos="1361"/>
      </w:tabs>
    </w:pPr>
  </w:style>
  <w:style w:type="paragraph" w:styleId="ListBullet5">
    <w:name w:val="List Bullet 5"/>
    <w:basedOn w:val="List5"/>
    <w:rsid w:val="001E342C"/>
    <w:pPr>
      <w:numPr>
        <w:numId w:val="3"/>
      </w:numPr>
    </w:pPr>
  </w:style>
  <w:style w:type="paragraph" w:styleId="ListContinue2">
    <w:name w:val="List Continue 2"/>
    <w:basedOn w:val="List2"/>
    <w:rsid w:val="001E342C"/>
    <w:pPr>
      <w:ind w:firstLine="0"/>
    </w:pPr>
  </w:style>
  <w:style w:type="paragraph" w:styleId="ListContinue3">
    <w:name w:val="List Continue 3"/>
    <w:basedOn w:val="List3"/>
    <w:rsid w:val="001E342C"/>
    <w:pPr>
      <w:ind w:left="1021" w:firstLine="0"/>
    </w:pPr>
  </w:style>
  <w:style w:type="paragraph" w:styleId="ListContinue4">
    <w:name w:val="List Continue 4"/>
    <w:basedOn w:val="List4"/>
    <w:rsid w:val="001E342C"/>
    <w:pPr>
      <w:ind w:firstLine="0"/>
    </w:pPr>
  </w:style>
  <w:style w:type="paragraph" w:styleId="ListContinue5">
    <w:name w:val="List Continue 5"/>
    <w:basedOn w:val="List5"/>
    <w:rsid w:val="001E342C"/>
    <w:pPr>
      <w:ind w:firstLine="0"/>
    </w:pPr>
  </w:style>
  <w:style w:type="paragraph" w:styleId="ListNumber3">
    <w:name w:val="List Number 3"/>
    <w:basedOn w:val="List3"/>
    <w:rsid w:val="001E342C"/>
    <w:pPr>
      <w:numPr>
        <w:numId w:val="4"/>
      </w:numPr>
    </w:pPr>
  </w:style>
  <w:style w:type="paragraph" w:styleId="ListNumber4">
    <w:name w:val="List Number 4"/>
    <w:basedOn w:val="List4"/>
    <w:rsid w:val="001E342C"/>
    <w:pPr>
      <w:numPr>
        <w:numId w:val="5"/>
      </w:numPr>
    </w:pPr>
  </w:style>
  <w:style w:type="paragraph" w:styleId="ListNumber5">
    <w:name w:val="List Number 5"/>
    <w:basedOn w:val="List5"/>
    <w:rsid w:val="001E342C"/>
    <w:pPr>
      <w:numPr>
        <w:numId w:val="6"/>
      </w:numPr>
    </w:pPr>
  </w:style>
  <w:style w:type="paragraph" w:styleId="BlockText">
    <w:name w:val="Block Text"/>
    <w:basedOn w:val="Normal"/>
    <w:rsid w:val="001E342C"/>
    <w:pPr>
      <w:spacing w:after="120"/>
      <w:ind w:left="1440" w:right="1440"/>
    </w:pPr>
  </w:style>
  <w:style w:type="character" w:customStyle="1" w:styleId="Subscript">
    <w:name w:val="Subscript"/>
    <w:basedOn w:val="DefaultParagraphFont"/>
    <w:rsid w:val="001E342C"/>
    <w:rPr>
      <w:sz w:val="16"/>
      <w:vertAlign w:val="subscript"/>
    </w:rPr>
  </w:style>
  <w:style w:type="character" w:customStyle="1" w:styleId="Superscript">
    <w:name w:val="Superscript"/>
    <w:basedOn w:val="DefaultParagraphFont"/>
    <w:rsid w:val="001E342C"/>
    <w:rPr>
      <w:sz w:val="16"/>
      <w:vertAlign w:val="superscript"/>
    </w:rPr>
  </w:style>
  <w:style w:type="character" w:customStyle="1" w:styleId="Symbols">
    <w:name w:val="Symbols"/>
    <w:basedOn w:val="DefaultParagraphFont"/>
    <w:rsid w:val="001E342C"/>
    <w:rPr>
      <w:rFonts w:ascii="Symbol" w:hAnsi="Symbol"/>
    </w:rPr>
  </w:style>
  <w:style w:type="character" w:customStyle="1" w:styleId="MenuOptions">
    <w:name w:val="Menu Options"/>
    <w:basedOn w:val="DefaultParagraphFont"/>
    <w:rsid w:val="001E342C"/>
    <w:rPr>
      <w:rFonts w:ascii="Arial Narrow" w:hAnsi="Arial Narrow"/>
      <w:smallCaps/>
    </w:rPr>
  </w:style>
  <w:style w:type="character" w:customStyle="1" w:styleId="Buttons">
    <w:name w:val="Buttons"/>
    <w:basedOn w:val="DefaultParagraphFont"/>
    <w:rsid w:val="001E342C"/>
    <w:rPr>
      <w:b/>
    </w:rPr>
  </w:style>
  <w:style w:type="character" w:customStyle="1" w:styleId="Underlined">
    <w:name w:val="Underlined"/>
    <w:basedOn w:val="DefaultParagraphFont"/>
    <w:rsid w:val="001E342C"/>
    <w:rPr>
      <w:u w:val="single"/>
    </w:rPr>
  </w:style>
  <w:style w:type="paragraph" w:customStyle="1" w:styleId="TableBodyTextRight">
    <w:name w:val="Table Body Text Right"/>
    <w:basedOn w:val="TableBodyText"/>
    <w:rsid w:val="001E342C"/>
    <w:pPr>
      <w:widowControl w:val="0"/>
      <w:autoSpaceDE w:val="0"/>
      <w:autoSpaceDN w:val="0"/>
      <w:adjustRightInd w:val="0"/>
      <w:jc w:val="right"/>
    </w:pPr>
    <w:rPr>
      <w:rFonts w:cs="Arial"/>
      <w:szCs w:val="18"/>
    </w:rPr>
  </w:style>
  <w:style w:type="paragraph" w:customStyle="1" w:styleId="CopyrightText">
    <w:name w:val="Copyright Text"/>
    <w:basedOn w:val="BodyText"/>
    <w:rsid w:val="001E342C"/>
    <w:rPr>
      <w:sz w:val="18"/>
    </w:rPr>
  </w:style>
  <w:style w:type="paragraph" w:customStyle="1" w:styleId="BodySmallRight">
    <w:name w:val="Body Small Right"/>
    <w:basedOn w:val="BodyTextRight"/>
    <w:rsid w:val="001E342C"/>
    <w:rPr>
      <w:sz w:val="18"/>
      <w:szCs w:val="18"/>
    </w:rPr>
  </w:style>
  <w:style w:type="paragraph" w:customStyle="1" w:styleId="MarginEdition">
    <w:name w:val="Margin Edition"/>
    <w:basedOn w:val="MarginNote"/>
    <w:rsid w:val="001E342C"/>
    <w:pPr>
      <w:spacing w:before="0" w:after="0"/>
    </w:pPr>
    <w:rPr>
      <w:rFonts w:ascii="Times New Roman" w:hAnsi="Times New Roman"/>
      <w:color w:val="999999"/>
    </w:rPr>
  </w:style>
  <w:style w:type="paragraph" w:customStyle="1" w:styleId="Spacer">
    <w:name w:val="Spacer"/>
    <w:basedOn w:val="Normal"/>
    <w:rsid w:val="001E342C"/>
    <w:rPr>
      <w:sz w:val="2"/>
      <w:szCs w:val="2"/>
    </w:rPr>
  </w:style>
  <w:style w:type="character" w:customStyle="1" w:styleId="Small">
    <w:name w:val="Small"/>
    <w:basedOn w:val="DefaultParagraphFont"/>
    <w:rsid w:val="001E342C"/>
    <w:rPr>
      <w:sz w:val="16"/>
    </w:rPr>
  </w:style>
  <w:style w:type="paragraph" w:customStyle="1" w:styleId="WideTable">
    <w:name w:val="Wide Table"/>
    <w:basedOn w:val="Normal"/>
    <w:rsid w:val="001E342C"/>
    <w:pPr>
      <w:ind w:left="-1418"/>
    </w:pPr>
    <w:rPr>
      <w:sz w:val="2"/>
      <w:szCs w:val="2"/>
    </w:rPr>
  </w:style>
  <w:style w:type="character" w:styleId="PageNumber">
    <w:name w:val="page number"/>
    <w:basedOn w:val="DefaultParagraphFont"/>
    <w:rsid w:val="001E342C"/>
  </w:style>
  <w:style w:type="paragraph" w:styleId="Quote">
    <w:name w:val="Quote"/>
    <w:basedOn w:val="Heading1"/>
    <w:link w:val="QuoteChar"/>
    <w:qFormat/>
    <w:rsid w:val="001E342C"/>
    <w:rPr>
      <w:b w:val="0"/>
      <w:sz w:val="72"/>
      <w:szCs w:val="72"/>
      <w:lang w:val="en-NZ"/>
    </w:rPr>
  </w:style>
  <w:style w:type="character" w:customStyle="1" w:styleId="QuoteChar">
    <w:name w:val="Quote Char"/>
    <w:basedOn w:val="DefaultParagraphFont"/>
    <w:link w:val="Quote"/>
    <w:rsid w:val="001E342C"/>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E342C"/>
    <w:pPr>
      <w:pageBreakBefore/>
    </w:pPr>
  </w:style>
  <w:style w:type="paragraph" w:customStyle="1" w:styleId="Border">
    <w:name w:val="Border"/>
    <w:basedOn w:val="Normal"/>
    <w:qFormat/>
    <w:rsid w:val="001E342C"/>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E342C"/>
    <w:rPr>
      <w:b/>
      <w:bCs/>
      <w:i/>
      <w:iCs/>
      <w:color w:val="auto"/>
    </w:rPr>
  </w:style>
  <w:style w:type="paragraph" w:styleId="IntenseQuote">
    <w:name w:val="Intense Quote"/>
    <w:basedOn w:val="Normal"/>
    <w:next w:val="Normal"/>
    <w:link w:val="IntenseQuoteChar"/>
    <w:uiPriority w:val="30"/>
    <w:qFormat/>
    <w:rsid w:val="001E342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E342C"/>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E342C"/>
    <w:rPr>
      <w:smallCaps/>
      <w:color w:val="auto"/>
      <w:u w:val="single"/>
    </w:rPr>
  </w:style>
  <w:style w:type="character" w:styleId="IntenseReference">
    <w:name w:val="Intense Reference"/>
    <w:basedOn w:val="DefaultParagraphFont"/>
    <w:uiPriority w:val="32"/>
    <w:qFormat/>
    <w:rsid w:val="001E342C"/>
    <w:rPr>
      <w:b/>
      <w:bCs/>
      <w:smallCaps/>
      <w:color w:val="auto"/>
      <w:spacing w:val="5"/>
      <w:u w:val="single"/>
    </w:rPr>
  </w:style>
  <w:style w:type="paragraph" w:customStyle="1" w:styleId="2ColumnHeading">
    <w:name w:val="2Column Heading"/>
    <w:basedOn w:val="BodyText"/>
    <w:qFormat/>
    <w:rsid w:val="001E342C"/>
    <w:pPr>
      <w:spacing w:after="60"/>
      <w:ind w:left="-2268"/>
    </w:pPr>
    <w:rPr>
      <w:b/>
    </w:rPr>
  </w:style>
  <w:style w:type="paragraph" w:customStyle="1" w:styleId="Heading1TOC">
    <w:name w:val="Heading1 TOC"/>
    <w:basedOn w:val="Normal"/>
    <w:qFormat/>
    <w:rsid w:val="001E342C"/>
    <w:pPr>
      <w:spacing w:before="240" w:after="120"/>
    </w:pPr>
    <w:rPr>
      <w:rFonts w:ascii="Times New Roman" w:hAnsi="Times New Roman"/>
      <w:b/>
      <w:sz w:val="32"/>
    </w:rPr>
  </w:style>
  <w:style w:type="paragraph" w:customStyle="1" w:styleId="Heading2TOC">
    <w:name w:val="Heading2 TOC"/>
    <w:basedOn w:val="Normal"/>
    <w:qFormat/>
    <w:rsid w:val="001E342C"/>
    <w:pPr>
      <w:spacing w:before="240" w:after="60"/>
    </w:pPr>
    <w:rPr>
      <w:rFonts w:ascii="Times New Roman" w:hAnsi="Times New Roman"/>
      <w:b/>
      <w:sz w:val="28"/>
    </w:rPr>
  </w:style>
  <w:style w:type="character" w:customStyle="1" w:styleId="Underline">
    <w:name w:val="Underline"/>
    <w:basedOn w:val="DefaultParagraphFont"/>
    <w:qFormat/>
    <w:rsid w:val="001E342C"/>
    <w:rPr>
      <w:u w:val="single"/>
    </w:rPr>
  </w:style>
  <w:style w:type="character" w:customStyle="1" w:styleId="BoldandItalics">
    <w:name w:val="Bold and Italics"/>
    <w:qFormat/>
    <w:rsid w:val="001E342C"/>
    <w:rPr>
      <w:b/>
      <w:i/>
      <w:u w:val="none"/>
    </w:rPr>
  </w:style>
  <w:style w:type="paragraph" w:styleId="BalloonText">
    <w:name w:val="Balloon Text"/>
    <w:basedOn w:val="Normal"/>
    <w:link w:val="BalloonTextChar"/>
    <w:rsid w:val="001E342C"/>
    <w:rPr>
      <w:rFonts w:ascii="Tahoma" w:hAnsi="Tahoma" w:cs="Tahoma"/>
      <w:sz w:val="16"/>
      <w:szCs w:val="16"/>
    </w:rPr>
  </w:style>
  <w:style w:type="character" w:customStyle="1" w:styleId="BalloonTextChar">
    <w:name w:val="Balloon Text Char"/>
    <w:basedOn w:val="DefaultParagraphFont"/>
    <w:link w:val="BalloonText"/>
    <w:rsid w:val="001E342C"/>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E342C"/>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E342C"/>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E342C"/>
    <w:rPr>
      <w:b/>
      <w:color w:val="660033"/>
      <w:spacing w:val="0"/>
    </w:rPr>
  </w:style>
  <w:style w:type="paragraph" w:customStyle="1" w:styleId="Nameditemlist">
    <w:name w:val="Named item list"/>
    <w:basedOn w:val="BodyText"/>
    <w:qFormat/>
    <w:rsid w:val="001E342C"/>
    <w:pPr>
      <w:tabs>
        <w:tab w:val="left" w:pos="2835"/>
      </w:tabs>
      <w:ind w:left="2835" w:hanging="2835"/>
    </w:pPr>
  </w:style>
  <w:style w:type="paragraph" w:customStyle="1" w:styleId="BodyTextnopadding">
    <w:name w:val="Body Text no padding"/>
    <w:basedOn w:val="BodyText"/>
    <w:qFormat/>
    <w:rsid w:val="001E342C"/>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782</Words>
  <Characters>5134</Characters>
  <Application>Microsoft Office Word</Application>
  <DocSecurity>0</DocSecurity>
  <Lines>250</Lines>
  <Paragraphs>164</Paragraphs>
  <ScaleCrop>false</ScaleCrop>
  <Company>Author-it Software Corporation Ltd.</Company>
  <LinksUpToDate>false</LinksUpToDate>
  <CharactersWithSpaces>5840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MSFBA3003 Install timber shutters</dc:title>
  <dc:subject>Approved</dc:subject>
  <dc:creator>Innovation and Business Skills Australia</dc:creator>
  <cp:keywords>Release: 1</cp:keywords>
  <dc:description>Review Date: 12 April 2008</dc:description>
  <cp:lastModifiedBy>HSD_TPCMSd.prod</cp:lastModifiedBy>
  <cp:revision>3</cp:revision>
  <dcterms:created xsi:type="dcterms:W3CDTF">2018-12-03T08:31:00Z</dcterms:created>
  <dcterms:modified xsi:type="dcterms:W3CDTF">2018-12-03T08:31:00Z</dcterms:modified>
</cp:coreProperties>
</file>