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269" w:rsidRDefault="005C3269" w:rsidP="005C3269">
      <w:pPr>
        <w:pStyle w:val="Title"/>
      </w:pPr>
      <w:fldSimple w:instr=" TITLE   \* MERGEFORMAT ">
        <w:r>
          <w:t>Assessment Requirements for ICTCBL237 Install, maintain and modify customer premises communications cabling: ACMA Open Rule</w:t>
        </w:r>
      </w:fldSimple>
    </w:p>
    <w:p w:rsidR="005C3269" w:rsidRDefault="005C3269" w:rsidP="005C3269">
      <w:pPr>
        <w:pStyle w:val="Version"/>
        <w:sectPr w:rsidR="005C3269" w:rsidSect="00E14DA0">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w:t>
        </w:r>
      </w:fldSimple>
    </w:p>
    <w:p w:rsidR="00000000" w:rsidRPr="00E14DA0" w:rsidRDefault="005C3269" w:rsidP="00E14DA0">
      <w:pPr>
        <w:pStyle w:val="SuperHeading"/>
      </w:pPr>
      <w:r w:rsidRPr="00E14DA0">
        <w:lastRenderedPageBreak/>
        <w:t>Assessment Requirements for ICTCBL237 Install, maintain and modify customer premises communications cabling: ACMA Open Rule</w:t>
      </w:r>
    </w:p>
    <w:p w:rsidR="00000000" w:rsidRPr="00E14DA0" w:rsidRDefault="005C3269" w:rsidP="00E14DA0">
      <w:pPr>
        <w:pStyle w:val="Heading1"/>
      </w:pPr>
      <w:bookmarkStart w:id="1" w:name="O_931146"/>
      <w:bookmarkEnd w:id="1"/>
      <w:r w:rsidRPr="00E14DA0">
        <w:t>Modification History</w:t>
      </w:r>
    </w:p>
    <w:tbl>
      <w:tblPr>
        <w:tblW w:w="0" w:type="auto"/>
        <w:tblLayout w:type="fixed"/>
        <w:tblCellMar>
          <w:left w:w="62" w:type="dxa"/>
          <w:right w:w="62" w:type="dxa"/>
        </w:tblCellMar>
        <w:tblLook w:val="0000" w:firstRow="0" w:lastRow="0" w:firstColumn="0" w:lastColumn="0" w:noHBand="0" w:noVBand="0"/>
      </w:tblPr>
      <w:tblGrid>
        <w:gridCol w:w="2627"/>
        <w:gridCol w:w="6337"/>
      </w:tblGrid>
      <w:tr w:rsidR="00000000" w:rsidTr="00E14DA0">
        <w:tc>
          <w:tcPr>
            <w:tcW w:w="2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14DA0" w:rsidRDefault="005C3269" w:rsidP="00E14DA0">
            <w:pPr>
              <w:pStyle w:val="BodyText"/>
            </w:pPr>
            <w:r w:rsidRPr="00E14DA0">
              <w:rPr>
                <w:rStyle w:val="SpecialBold"/>
              </w:rPr>
              <w:t>Release</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C3269" w:rsidP="00E14DA0">
            <w:pPr>
              <w:pStyle w:val="BodyText"/>
              <w:rPr>
                <w:lang w:val="en-NZ"/>
              </w:rPr>
            </w:pPr>
            <w:r w:rsidRPr="00E14DA0">
              <w:rPr>
                <w:rStyle w:val="SpecialBold"/>
              </w:rPr>
              <w:t>Comments</w:t>
            </w:r>
          </w:p>
        </w:tc>
      </w:tr>
      <w:tr w:rsidR="00000000" w:rsidTr="00E14DA0">
        <w:tc>
          <w:tcPr>
            <w:tcW w:w="2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C3269" w:rsidP="00E14DA0">
            <w:pPr>
              <w:pStyle w:val="BodyText"/>
              <w:rPr>
                <w:lang w:val="en-NZ"/>
              </w:rPr>
            </w:pPr>
            <w:r w:rsidRPr="00E14DA0">
              <w:t>Release 2</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14DA0" w:rsidRDefault="005C3269" w:rsidP="00E14DA0">
            <w:pPr>
              <w:pStyle w:val="BodyText"/>
            </w:pPr>
            <w:r w:rsidRPr="00E14DA0">
              <w:t>This version first released with ICT Information and Communications Technology Training Package version 3.1.</w:t>
            </w:r>
          </w:p>
          <w:p w:rsidR="00000000" w:rsidRDefault="005C3269" w:rsidP="00E14DA0">
            <w:pPr>
              <w:pStyle w:val="BodyText"/>
              <w:rPr>
                <w:lang w:val="en-NZ"/>
              </w:rPr>
            </w:pPr>
            <w:r w:rsidRPr="00E14DA0">
              <w:t>New release provides updates to Elements and Performance Criteria.</w:t>
            </w:r>
          </w:p>
        </w:tc>
      </w:tr>
      <w:tr w:rsidR="00000000" w:rsidRPr="00E14DA0" w:rsidTr="00E14DA0">
        <w:tc>
          <w:tcPr>
            <w:tcW w:w="2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5C3269" w:rsidP="00E14DA0">
            <w:pPr>
              <w:pStyle w:val="BodyText"/>
              <w:rPr>
                <w:lang w:val="en-NZ"/>
              </w:rPr>
            </w:pPr>
            <w:r w:rsidRPr="00E14DA0">
              <w:t>Release 1</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14DA0" w:rsidRDefault="005C3269" w:rsidP="00E14DA0">
            <w:pPr>
              <w:pStyle w:val="BodyText"/>
            </w:pPr>
            <w:r w:rsidRPr="00E14DA0">
              <w:t>This version first released with ICT Information and Communications T</w:t>
            </w:r>
            <w:r w:rsidRPr="00E14DA0">
              <w:t>echnology Training Package version 2.0.</w:t>
            </w:r>
          </w:p>
        </w:tc>
      </w:tr>
    </w:tbl>
    <w:p w:rsidR="00000000" w:rsidRPr="00E14DA0" w:rsidRDefault="005C3269" w:rsidP="00E14DA0">
      <w:pPr>
        <w:pStyle w:val="BodyText"/>
      </w:pPr>
    </w:p>
    <w:p w:rsidR="00000000" w:rsidRPr="00E14DA0" w:rsidRDefault="005C3269" w:rsidP="00E14DA0">
      <w:pPr>
        <w:pStyle w:val="AllowPageBreak"/>
      </w:pPr>
    </w:p>
    <w:p w:rsidR="00000000" w:rsidRPr="00E14DA0" w:rsidRDefault="005C3269" w:rsidP="00E14DA0">
      <w:pPr>
        <w:pStyle w:val="Heading1"/>
      </w:pPr>
      <w:bookmarkStart w:id="2" w:name="O_931145"/>
      <w:bookmarkEnd w:id="2"/>
      <w:r w:rsidRPr="00E14DA0">
        <w:t>Performance Evidence</w:t>
      </w:r>
    </w:p>
    <w:p w:rsidR="00000000" w:rsidRPr="00E14DA0" w:rsidRDefault="005C3269" w:rsidP="005C3269">
      <w:pPr>
        <w:pStyle w:val="BodyText"/>
      </w:pPr>
      <w:r w:rsidRPr="00E14DA0">
        <w:t>Evidence of the ability to:</w:t>
      </w:r>
    </w:p>
    <w:p w:rsidR="00000000" w:rsidRPr="00E14DA0" w:rsidRDefault="005C3269" w:rsidP="00E14DA0">
      <w:pPr>
        <w:pStyle w:val="ListBullet"/>
      </w:pPr>
      <w:r w:rsidRPr="00E14DA0">
        <w:t xml:space="preserve">identify the correct telecommunications cable by its colour identifier </w:t>
      </w:r>
    </w:p>
    <w:p w:rsidR="00000000" w:rsidRPr="00E14DA0" w:rsidRDefault="005C3269" w:rsidP="00E14DA0">
      <w:pPr>
        <w:pStyle w:val="ListBullet"/>
      </w:pPr>
      <w:r w:rsidRPr="00E14DA0">
        <w:t xml:space="preserve">terminate systems at both distributor and outlet locations </w:t>
      </w:r>
    </w:p>
    <w:p w:rsidR="00000000" w:rsidRPr="00E14DA0" w:rsidRDefault="005C3269" w:rsidP="00E14DA0">
      <w:pPr>
        <w:pStyle w:val="ListBullet"/>
      </w:pPr>
      <w:r w:rsidRPr="00E14DA0">
        <w:t xml:space="preserve">install and terminate one jumperable distributor (campus distributor or building distributor) with a capacity of 100 pair or greater </w:t>
      </w:r>
    </w:p>
    <w:p w:rsidR="00000000" w:rsidRPr="00E14DA0" w:rsidRDefault="005C3269" w:rsidP="00E14DA0">
      <w:pPr>
        <w:pStyle w:val="ListBullet"/>
      </w:pPr>
      <w:r w:rsidRPr="00E14DA0">
        <w:t xml:space="preserve">terminate one non-jumperable distributor (Local Distributor) </w:t>
      </w:r>
    </w:p>
    <w:p w:rsidR="00000000" w:rsidRPr="00E14DA0" w:rsidRDefault="005C3269" w:rsidP="00E14DA0">
      <w:pPr>
        <w:pStyle w:val="ListBullet"/>
      </w:pPr>
      <w:r w:rsidRPr="00E14DA0">
        <w:t>terminate at least one 50 pair and one 4 pair data cable, in</w:t>
      </w:r>
      <w:r w:rsidRPr="00E14DA0">
        <w:t>cluding accurate completion of installation records, drawing alterations and compliance forms</w:t>
      </w:r>
    </w:p>
    <w:p w:rsidR="00000000" w:rsidRPr="00E14DA0" w:rsidRDefault="005C3269" w:rsidP="00E14DA0">
      <w:pPr>
        <w:pStyle w:val="ListBullet"/>
      </w:pPr>
      <w:r w:rsidRPr="00E14DA0">
        <w:t>place cables on support structures and building faces for both internal and external locations</w:t>
      </w:r>
    </w:p>
    <w:p w:rsidR="00000000" w:rsidRPr="00E14DA0" w:rsidRDefault="005C3269" w:rsidP="00E14DA0">
      <w:pPr>
        <w:pStyle w:val="ListBullet"/>
      </w:pPr>
      <w:r w:rsidRPr="00E14DA0">
        <w:t>secure cables with appropriate fasteners for the above locations</w:t>
      </w:r>
    </w:p>
    <w:p w:rsidR="00000000" w:rsidRPr="00E14DA0" w:rsidRDefault="005C3269" w:rsidP="00E14DA0">
      <w:pPr>
        <w:pStyle w:val="ListBullet"/>
      </w:pPr>
      <w:r w:rsidRPr="00E14DA0">
        <w:t>de</w:t>
      </w:r>
      <w:r w:rsidRPr="00E14DA0">
        <w:t xml:space="preserve">monstrate work practices which avoid cable damage </w:t>
      </w:r>
    </w:p>
    <w:p w:rsidR="00000000" w:rsidRPr="00E14DA0" w:rsidRDefault="005C3269" w:rsidP="00E14DA0">
      <w:pPr>
        <w:pStyle w:val="ListBullet"/>
      </w:pPr>
      <w:r w:rsidRPr="00E14DA0">
        <w:t>install at least one common type of earthing system used in customer premises for cabling systems</w:t>
      </w:r>
    </w:p>
    <w:p w:rsidR="00000000" w:rsidRPr="00E14DA0" w:rsidRDefault="005C3269" w:rsidP="00E14DA0">
      <w:pPr>
        <w:pStyle w:val="ListBullet"/>
      </w:pPr>
      <w:r w:rsidRPr="00E14DA0">
        <w:t>read and interpret drawings related to cable layouts, outlet location, cable coding system, and identifiers</w:t>
      </w:r>
      <w:r w:rsidRPr="00E14DA0">
        <w:t xml:space="preserve"> and distributor locations</w:t>
      </w:r>
    </w:p>
    <w:p w:rsidR="00000000" w:rsidRPr="00E14DA0" w:rsidRDefault="005C3269" w:rsidP="00E14DA0">
      <w:pPr>
        <w:pStyle w:val="ListBullet"/>
      </w:pPr>
      <w:r w:rsidRPr="00E14DA0">
        <w:t xml:space="preserve">conduct and interpreting cable test results </w:t>
      </w:r>
    </w:p>
    <w:p w:rsidR="00000000" w:rsidRPr="00E14DA0" w:rsidRDefault="005C3269" w:rsidP="00E14DA0">
      <w:pPr>
        <w:pStyle w:val="ListBullet"/>
      </w:pPr>
      <w:r w:rsidRPr="00E14DA0">
        <w:t>interpret and apply relevant legislation, codes, regulations and standards</w:t>
      </w:r>
    </w:p>
    <w:p w:rsidR="00000000" w:rsidRPr="00E14DA0" w:rsidRDefault="005C3269" w:rsidP="00E14DA0">
      <w:pPr>
        <w:pStyle w:val="ListBullet"/>
      </w:pPr>
      <w:r w:rsidRPr="00E14DA0">
        <w:t>comply with all work, health and safety (WHS) requirements and work practices.</w:t>
      </w:r>
    </w:p>
    <w:p w:rsidR="00000000" w:rsidRPr="00E14DA0" w:rsidRDefault="005C3269" w:rsidP="00E14DA0">
      <w:pPr>
        <w:pStyle w:val="BodyText"/>
      </w:pPr>
    </w:p>
    <w:p w:rsidR="00000000" w:rsidRPr="00E14DA0" w:rsidRDefault="005C3269" w:rsidP="005C3269">
      <w:pPr>
        <w:pStyle w:val="BodyText"/>
      </w:pPr>
      <w:r w:rsidRPr="00E14DA0">
        <w:t>Note: If a specific volume or</w:t>
      </w:r>
      <w:r w:rsidRPr="00E14DA0">
        <w:t xml:space="preserve"> frequency is not stated, then evidence must be provided at least once.</w:t>
      </w:r>
    </w:p>
    <w:p w:rsidR="00000000" w:rsidRPr="00E14DA0" w:rsidRDefault="005C3269" w:rsidP="00E14DA0">
      <w:pPr>
        <w:pStyle w:val="Heading1"/>
      </w:pPr>
      <w:bookmarkStart w:id="3" w:name="O_931144"/>
      <w:bookmarkEnd w:id="3"/>
      <w:r w:rsidRPr="00E14DA0">
        <w:t>Knowledge Evidence</w:t>
      </w:r>
    </w:p>
    <w:p w:rsidR="00000000" w:rsidRPr="00E14DA0" w:rsidRDefault="005C3269" w:rsidP="005C3269">
      <w:pPr>
        <w:pStyle w:val="BodyText"/>
      </w:pPr>
      <w:r w:rsidRPr="00E14DA0">
        <w:t>To complete the unit requirements safely and effectively, the individual must:</w:t>
      </w:r>
    </w:p>
    <w:p w:rsidR="00000000" w:rsidRPr="00E14DA0" w:rsidRDefault="005C3269" w:rsidP="00E14DA0">
      <w:pPr>
        <w:pStyle w:val="ListBullet"/>
      </w:pPr>
      <w:r w:rsidRPr="00E14DA0">
        <w:t>identify Australian Communications and Media Authority</w:t>
      </w:r>
      <w:r>
        <w:t>’</w:t>
      </w:r>
      <w:r w:rsidRPr="00E14DA0">
        <w:t>s (ACMA) cabl</w:t>
      </w:r>
      <w:r w:rsidRPr="00E14DA0">
        <w:t>ing provider rules, cabler registration rules, regulations and standards</w:t>
      </w:r>
    </w:p>
    <w:p w:rsidR="00000000" w:rsidRPr="00E14DA0" w:rsidRDefault="005C3269" w:rsidP="00E14DA0">
      <w:pPr>
        <w:pStyle w:val="ListBullet"/>
      </w:pPr>
      <w:r w:rsidRPr="00E14DA0">
        <w:t>describe the features and operating requirements of recognised cabling specific industry test equipment</w:t>
      </w:r>
    </w:p>
    <w:p w:rsidR="00000000" w:rsidRPr="00E14DA0" w:rsidRDefault="005C3269" w:rsidP="00E14DA0">
      <w:pPr>
        <w:pStyle w:val="ListBullet"/>
      </w:pPr>
      <w:r w:rsidRPr="00E14DA0">
        <w:t>describe the regulatory environment in which cabling can be carried out includi</w:t>
      </w:r>
      <w:r w:rsidRPr="00E14DA0">
        <w:t>ng:</w:t>
      </w:r>
    </w:p>
    <w:p w:rsidR="00000000" w:rsidRPr="00E14DA0" w:rsidRDefault="005C3269" w:rsidP="00E14DA0">
      <w:pPr>
        <w:pStyle w:val="ListBullet2"/>
      </w:pPr>
      <w:r w:rsidRPr="00E14DA0">
        <w:t>accredited registrars and registration</w:t>
      </w:r>
    </w:p>
    <w:p w:rsidR="00000000" w:rsidRPr="00E14DA0" w:rsidRDefault="005C3269" w:rsidP="00E14DA0">
      <w:pPr>
        <w:pStyle w:val="ListBullet2"/>
      </w:pPr>
      <w:r w:rsidRPr="00E14DA0">
        <w:t>ACMA</w:t>
      </w:r>
    </w:p>
    <w:p w:rsidR="00000000" w:rsidRPr="00E14DA0" w:rsidRDefault="005C3269" w:rsidP="00E14DA0">
      <w:pPr>
        <w:pStyle w:val="ListBullet2"/>
      </w:pPr>
      <w:r w:rsidRPr="00E14DA0">
        <w:t>Certified Components List</w:t>
      </w:r>
    </w:p>
    <w:p w:rsidR="00000000" w:rsidRPr="00E14DA0" w:rsidRDefault="005C3269" w:rsidP="00E14DA0">
      <w:pPr>
        <w:pStyle w:val="ListBullet2"/>
      </w:pPr>
      <w:r w:rsidRPr="00E14DA0">
        <w:t>labelling requirements</w:t>
      </w:r>
    </w:p>
    <w:p w:rsidR="00000000" w:rsidRPr="00E14DA0" w:rsidRDefault="005C3269" w:rsidP="00E14DA0">
      <w:pPr>
        <w:pStyle w:val="ListBullet"/>
      </w:pPr>
      <w:r w:rsidRPr="00E14DA0">
        <w:t>describe the customer cabling environment for which cabling registration may be required for internal, external, above ground or below ground installation</w:t>
      </w:r>
    </w:p>
    <w:p w:rsidR="00000000" w:rsidRPr="00E14DA0" w:rsidRDefault="005C3269" w:rsidP="00E14DA0">
      <w:pPr>
        <w:pStyle w:val="ListBullet"/>
      </w:pPr>
      <w:r w:rsidRPr="00E14DA0">
        <w:t>describe the information required to operate equipment according to a test specification</w:t>
      </w:r>
    </w:p>
    <w:p w:rsidR="00000000" w:rsidRPr="00E14DA0" w:rsidRDefault="005C3269" w:rsidP="00E14DA0">
      <w:pPr>
        <w:pStyle w:val="ListBullet"/>
      </w:pPr>
      <w:r w:rsidRPr="00E14DA0">
        <w:t>identify legislation, codes of practice and other formal agreements that impact on the work activity</w:t>
      </w:r>
    </w:p>
    <w:p w:rsidR="00000000" w:rsidRPr="00E14DA0" w:rsidRDefault="005C3269" w:rsidP="00E14DA0">
      <w:pPr>
        <w:pStyle w:val="ListBullet"/>
      </w:pPr>
      <w:r w:rsidRPr="00E14DA0">
        <w:t xml:space="preserve">identify and describe the various cable types, their identifiers, </w:t>
      </w:r>
      <w:r w:rsidRPr="00E14DA0">
        <w:t>termination systems (including jumperable and non-jumperable distributor), separations, support systems and fastening techniques used for telecommunications cabling</w:t>
      </w:r>
    </w:p>
    <w:p w:rsidR="00000000" w:rsidRPr="00E14DA0" w:rsidRDefault="005C3269" w:rsidP="00E14DA0">
      <w:pPr>
        <w:pStyle w:val="ListBullet"/>
      </w:pPr>
      <w:r w:rsidRPr="00E14DA0">
        <w:t>describe important documentation and records required when cabling</w:t>
      </w:r>
    </w:p>
    <w:p w:rsidR="00000000" w:rsidRPr="00E14DA0" w:rsidRDefault="005C3269" w:rsidP="00E14DA0">
      <w:pPr>
        <w:pStyle w:val="ListBullet"/>
      </w:pPr>
      <w:r w:rsidRPr="00E14DA0">
        <w:t>identify the manufacture</w:t>
      </w:r>
      <w:r w:rsidRPr="00E14DA0">
        <w:t>r requirements for safe operation of equipment</w:t>
      </w:r>
    </w:p>
    <w:p w:rsidR="00000000" w:rsidRPr="00E14DA0" w:rsidRDefault="005C3269" w:rsidP="00E14DA0">
      <w:pPr>
        <w:pStyle w:val="ListBullet"/>
      </w:pPr>
      <w:r w:rsidRPr="00E14DA0">
        <w:t>identify and describe earthing and protection strategies and technologies relevant to different cabling applications</w:t>
      </w:r>
    </w:p>
    <w:p w:rsidR="00000000" w:rsidRPr="00E14DA0" w:rsidRDefault="005C3269" w:rsidP="00E14DA0">
      <w:pPr>
        <w:pStyle w:val="ListBullet"/>
      </w:pPr>
      <w:r w:rsidRPr="00E14DA0">
        <w:t>identify specific WHS requirements relating to the activity and site conditions</w:t>
      </w:r>
    </w:p>
    <w:p w:rsidR="00000000" w:rsidRPr="00E14DA0" w:rsidRDefault="005C3269" w:rsidP="00E14DA0">
      <w:pPr>
        <w:pStyle w:val="ListBullet"/>
      </w:pPr>
      <w:r w:rsidRPr="00E14DA0">
        <w:t>describe tes</w:t>
      </w:r>
      <w:r w:rsidRPr="00E14DA0">
        <w:t>t methods and performance requirements</w:t>
      </w:r>
    </w:p>
    <w:p w:rsidR="00000000" w:rsidRPr="00E14DA0" w:rsidRDefault="005C3269" w:rsidP="00E14DA0">
      <w:pPr>
        <w:pStyle w:val="ListBullet"/>
      </w:pPr>
      <w:r w:rsidRPr="00E14DA0">
        <w:t>identify typical issues and challenges that occur on site</w:t>
      </w:r>
    </w:p>
    <w:p w:rsidR="00000000" w:rsidRPr="00E14DA0" w:rsidRDefault="005C3269" w:rsidP="00E14DA0">
      <w:pPr>
        <w:pStyle w:val="ListBullet"/>
      </w:pPr>
      <w:r w:rsidRPr="00E14DA0">
        <w:t>describe devices for a range of telecommunications cabling applications, including, ethernet data systems, audio and video systems, security systems and fire p</w:t>
      </w:r>
      <w:r w:rsidRPr="00E14DA0">
        <w:t>rotection systems</w:t>
      </w:r>
    </w:p>
    <w:p w:rsidR="00000000" w:rsidRPr="00E14DA0" w:rsidRDefault="005C3269" w:rsidP="00E14DA0">
      <w:pPr>
        <w:pStyle w:val="ListBullet"/>
      </w:pPr>
      <w:r w:rsidRPr="00E14DA0">
        <w:t xml:space="preserve">define where integral bearer wires are required according to current Australian Standards </w:t>
      </w:r>
    </w:p>
    <w:p w:rsidR="00000000" w:rsidRPr="00E14DA0" w:rsidRDefault="005C3269" w:rsidP="00E14DA0">
      <w:pPr>
        <w:pStyle w:val="ListBullet"/>
      </w:pPr>
      <w:r w:rsidRPr="00E14DA0">
        <w:t>describe underground cable minimum depth of cover and segregation from hazardous electrical and other services according to current Australian Standards</w:t>
      </w:r>
    </w:p>
    <w:p w:rsidR="00000000" w:rsidRPr="00E14DA0" w:rsidRDefault="005C3269" w:rsidP="00E14DA0">
      <w:pPr>
        <w:pStyle w:val="ListBullet"/>
      </w:pPr>
      <w:r w:rsidRPr="00E14DA0">
        <w:t>describe cable blocking agents within used to prevent the ingress of water underground (excluding blown</w:t>
      </w:r>
      <w:r w:rsidRPr="00E14DA0">
        <w:t xml:space="preserve"> fibre tube systems)</w:t>
      </w:r>
    </w:p>
    <w:p w:rsidR="00000000" w:rsidRPr="00E14DA0" w:rsidRDefault="005C3269" w:rsidP="00E14DA0">
      <w:pPr>
        <w:pStyle w:val="ListBullet"/>
      </w:pPr>
      <w:r w:rsidRPr="00E14DA0">
        <w:t>describe the feature of cables designed for underground use that may be laid in conduit trenches or direct buried</w:t>
      </w:r>
    </w:p>
    <w:p w:rsidR="00000000" w:rsidRPr="00E14DA0" w:rsidRDefault="005C3269" w:rsidP="00E14DA0">
      <w:pPr>
        <w:pStyle w:val="ListBullet"/>
      </w:pPr>
      <w:r w:rsidRPr="00E14DA0">
        <w:t>describe the responsibilities and process for supervising communications installation works.</w:t>
      </w:r>
    </w:p>
    <w:p w:rsidR="00000000" w:rsidRPr="00E14DA0" w:rsidRDefault="005C3269" w:rsidP="00E14DA0">
      <w:pPr>
        <w:pStyle w:val="AllowPageBreak"/>
      </w:pPr>
    </w:p>
    <w:p w:rsidR="00000000" w:rsidRPr="00E14DA0" w:rsidRDefault="005C3269" w:rsidP="00E14DA0">
      <w:pPr>
        <w:pStyle w:val="Heading1"/>
      </w:pPr>
      <w:bookmarkStart w:id="4" w:name="O_931143"/>
      <w:bookmarkEnd w:id="4"/>
      <w:r w:rsidRPr="00E14DA0">
        <w:lastRenderedPageBreak/>
        <w:t xml:space="preserve">Assessment </w:t>
      </w:r>
      <w:r w:rsidRPr="00E14DA0">
        <w:t>Conditions</w:t>
      </w:r>
    </w:p>
    <w:p w:rsidR="00000000" w:rsidRPr="00E14DA0" w:rsidRDefault="005C3269" w:rsidP="005C3269">
      <w:pPr>
        <w:pStyle w:val="BodyText"/>
      </w:pPr>
      <w:r w:rsidRPr="00E14DA0">
        <w:t>Gather evidence to demonstrate consistent performance in conditions that are safe and replicate the workplace. Noise levels, production flow, interruptions and time variances should be typical of those experienced in the telecommunications – cab</w:t>
      </w:r>
      <w:r w:rsidRPr="00E14DA0">
        <w:t>ling field of work and include access to:</w:t>
      </w:r>
    </w:p>
    <w:p w:rsidR="00000000" w:rsidRPr="00E14DA0" w:rsidRDefault="005C3269" w:rsidP="00E14DA0">
      <w:pPr>
        <w:pStyle w:val="ListBullet"/>
      </w:pPr>
      <w:r w:rsidRPr="00E14DA0">
        <w:t>a site on which communications cabling activities may be carried out</w:t>
      </w:r>
    </w:p>
    <w:p w:rsidR="00000000" w:rsidRPr="00E14DA0" w:rsidRDefault="005C3269" w:rsidP="00E14DA0">
      <w:pPr>
        <w:pStyle w:val="ListBullet"/>
      </w:pPr>
      <w:r w:rsidRPr="00E14DA0">
        <w:t xml:space="preserve">a jumperable distributor (campus distributor or building distributor) with a capacity of 100 pair or greater </w:t>
      </w:r>
    </w:p>
    <w:p w:rsidR="00000000" w:rsidRPr="00E14DA0" w:rsidRDefault="005C3269" w:rsidP="00E14DA0">
      <w:pPr>
        <w:pStyle w:val="ListBullet"/>
      </w:pPr>
      <w:r w:rsidRPr="00E14DA0">
        <w:t>a patched distributor</w:t>
      </w:r>
    </w:p>
    <w:p w:rsidR="00000000" w:rsidRPr="00E14DA0" w:rsidRDefault="005C3269" w:rsidP="00E14DA0">
      <w:pPr>
        <w:pStyle w:val="ListBullet"/>
      </w:pPr>
      <w:r w:rsidRPr="00E14DA0">
        <w:t>a 50 pair an</w:t>
      </w:r>
      <w:r w:rsidRPr="00E14DA0">
        <w:t>d 4 pair data system</w:t>
      </w:r>
    </w:p>
    <w:p w:rsidR="00000000" w:rsidRPr="00E14DA0" w:rsidRDefault="005C3269" w:rsidP="00E14DA0">
      <w:pPr>
        <w:pStyle w:val="ListBullet"/>
      </w:pPr>
      <w:r w:rsidRPr="00E14DA0">
        <w:t>use of cabling and field equipment currently used in industry</w:t>
      </w:r>
    </w:p>
    <w:p w:rsidR="00000000" w:rsidRPr="00E14DA0" w:rsidRDefault="005C3269" w:rsidP="00E14DA0">
      <w:pPr>
        <w:pStyle w:val="ListBullet"/>
      </w:pPr>
      <w:r w:rsidRPr="00E14DA0">
        <w:t>relevant regulatory and site related documentation.</w:t>
      </w:r>
    </w:p>
    <w:p w:rsidR="00000000" w:rsidRPr="00E14DA0" w:rsidRDefault="005C3269" w:rsidP="00E14DA0">
      <w:pPr>
        <w:pStyle w:val="BodyText"/>
      </w:pPr>
    </w:p>
    <w:p w:rsidR="00000000" w:rsidRPr="00E14DA0" w:rsidRDefault="005C3269" w:rsidP="005C3269">
      <w:pPr>
        <w:pStyle w:val="BodyText"/>
      </w:pPr>
      <w:r w:rsidRPr="00E14DA0">
        <w:t>Note: All client cabling work in the telecommunications, fire, security and data industries must be performed by a regis</w:t>
      </w:r>
      <w:r w:rsidRPr="00E14DA0">
        <w:t>tered cabler. All cablers are required to register with an Australian Communications and Media (ACMA) accredited registrar. Assessment by a Telecommunications Industry Training Advisory Board (TITAB) registered assessor is recommended for this unit.</w:t>
      </w:r>
    </w:p>
    <w:p w:rsidR="00000000" w:rsidRPr="00E14DA0" w:rsidRDefault="005C3269" w:rsidP="005C3269">
      <w:pPr>
        <w:pStyle w:val="BodyText"/>
      </w:pPr>
      <w:r w:rsidRPr="00E14DA0">
        <w:t>Asses</w:t>
      </w:r>
      <w:r w:rsidRPr="00E14DA0">
        <w:t xml:space="preserve">sors of this unit must satisfy the requirements for assessors in applicable vocational education and training legislation, frameworks and/or standards. </w:t>
      </w:r>
    </w:p>
    <w:p w:rsidR="00000000" w:rsidRPr="00E14DA0" w:rsidRDefault="005C3269" w:rsidP="00E14DA0">
      <w:pPr>
        <w:pStyle w:val="Heading1"/>
      </w:pPr>
      <w:bookmarkStart w:id="5" w:name="O_931156"/>
      <w:bookmarkEnd w:id="5"/>
      <w:r w:rsidRPr="00E14DA0">
        <w:t>Links</w:t>
      </w:r>
    </w:p>
    <w:p w:rsidR="00000000" w:rsidRPr="00E14DA0" w:rsidRDefault="005C3269" w:rsidP="005C3269">
      <w:pPr>
        <w:pStyle w:val="BodyText"/>
      </w:pPr>
      <w:r w:rsidRPr="00E14DA0">
        <w:t xml:space="preserve">Companion Volume implementation guides are found in VETNet - </w:t>
      </w:r>
      <w:hyperlink r:id="rId13" w:history="1">
        <w:r w:rsidRPr="00874D77">
          <w:rPr>
            <w:rStyle w:val="Hyperlink"/>
          </w:rPr>
          <w:t>https://vetnet.gov.au/Pages/TrainingDocs.aspx?q=a53af4e4-b400-484e-b778-71c9e9d6aff2</w:t>
        </w:r>
      </w:hyperlink>
    </w:p>
    <w:p w:rsidR="00000000" w:rsidRPr="00E14DA0" w:rsidRDefault="005C3269" w:rsidP="00E14DA0"/>
    <w:sectPr w:rsidR="00000000" w:rsidRPr="00E14DA0" w:rsidSect="00E14DA0">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DA0" w:rsidRDefault="00E14DA0" w:rsidP="00E14DA0">
      <w:r>
        <w:separator/>
      </w:r>
    </w:p>
  </w:endnote>
  <w:endnote w:type="continuationSeparator" w:id="0">
    <w:p w:rsidR="00E14DA0" w:rsidRDefault="00E14DA0" w:rsidP="00E14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A0" w:rsidRDefault="00E14DA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A0" w:rsidRPr="005C3269" w:rsidRDefault="00E14DA0" w:rsidP="005C326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A0" w:rsidRDefault="00E14DA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69" w:rsidRDefault="005C3269" w:rsidP="00E14DA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5C3269" w:rsidRDefault="005C3269" w:rsidP="00E14DA0">
    <w:pPr>
      <w:pStyle w:val="Footer"/>
      <w:framePr w:wrap="around"/>
    </w:pPr>
    <w:r>
      <w:t xml:space="preserve">© Commonwealth of Australia, </w:t>
    </w:r>
    <w:r>
      <w:fldChar w:fldCharType="begin"/>
    </w:r>
    <w:r>
      <w:instrText xml:space="preserve"> DATE  \@ "yyyy"  \* MERGEFORMAT </w:instrText>
    </w:r>
    <w:r>
      <w:fldChar w:fldCharType="separate"/>
    </w:r>
    <w:r>
      <w:rPr>
        <w:noProof/>
      </w:rPr>
      <w:t>2020</w:t>
    </w:r>
    <w:r>
      <w:fldChar w:fldCharType="end"/>
    </w:r>
    <w:r>
      <w:tab/>
    </w:r>
    <w:fldSimple w:instr=" DOCPROPERTY  Author  \* MERGEFORMAT ">
      <w:r>
        <w:t>PwC’s Skills for Australia</w:t>
      </w:r>
    </w:fldSimple>
  </w:p>
  <w:p w:rsidR="005C3269" w:rsidRDefault="005C3269" w:rsidP="00E14DA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DA0" w:rsidRDefault="00E14DA0" w:rsidP="00E14DA0">
      <w:r>
        <w:separator/>
      </w:r>
    </w:p>
  </w:footnote>
  <w:footnote w:type="continuationSeparator" w:id="0">
    <w:p w:rsidR="00E14DA0" w:rsidRDefault="00E14DA0" w:rsidP="00E14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A0" w:rsidRDefault="00E14DA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69" w:rsidRDefault="005C326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ADBE8A0" wp14:editId="117843C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14DA0" w:rsidRPr="005C3269" w:rsidRDefault="00E14DA0" w:rsidP="005C326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A0" w:rsidRDefault="00E14DA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69" w:rsidRPr="002D2AF8" w:rsidRDefault="005C3269" w:rsidP="00E14DA0">
    <w:pPr>
      <w:pStyle w:val="Header"/>
      <w:framePr w:wrap="around"/>
    </w:pPr>
    <w:fldSimple w:instr=" TITLE   \* MERGEFORMAT ">
      <w:r>
        <w:t>Assessment Requirements for ICTCBL237 Install, maintain and modify customer premises communications cabling: ACMA Open Rule</w:t>
      </w:r>
    </w:fldSimple>
    <w:r>
      <w:tab/>
      <w:t xml:space="preserve">Date this document was generated: </w:t>
    </w:r>
    <w:r>
      <w:fldChar w:fldCharType="begin"/>
    </w:r>
    <w:r>
      <w:instrText xml:space="preserve"> CREATEDATE  \@ "d MMMM yyyy"  \* MERGEFORMAT </w:instrText>
    </w:r>
    <w:r>
      <w:fldChar w:fldCharType="separate"/>
    </w:r>
    <w:r>
      <w:rPr>
        <w:noProof/>
      </w:rPr>
      <w:t>7 July 2020</w:t>
    </w:r>
    <w:r>
      <w:fldChar w:fldCharType="end"/>
    </w:r>
  </w:p>
  <w:p w:rsidR="005C3269" w:rsidRDefault="005C3269" w:rsidP="00E14DA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B5EA56C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AB56B42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2F8C83D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14DA0"/>
    <w:rsid w:val="005C3269"/>
    <w:rsid w:val="00E14D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DA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14DA0"/>
    <w:pPr>
      <w:spacing w:before="360" w:after="60"/>
      <w:outlineLvl w:val="0"/>
    </w:pPr>
    <w:rPr>
      <w:sz w:val="32"/>
    </w:rPr>
  </w:style>
  <w:style w:type="paragraph" w:styleId="Heading2">
    <w:name w:val="heading 2"/>
    <w:basedOn w:val="HeadingBase"/>
    <w:next w:val="BodyText"/>
    <w:link w:val="Heading2Char"/>
    <w:qFormat/>
    <w:rsid w:val="00E14DA0"/>
    <w:pPr>
      <w:keepLines/>
      <w:spacing w:before="240" w:after="120"/>
      <w:outlineLvl w:val="1"/>
    </w:pPr>
    <w:rPr>
      <w:sz w:val="28"/>
      <w:szCs w:val="40"/>
    </w:rPr>
  </w:style>
  <w:style w:type="paragraph" w:styleId="Heading3">
    <w:name w:val="heading 3"/>
    <w:basedOn w:val="HeadingBase"/>
    <w:next w:val="BodyText"/>
    <w:link w:val="Heading3Char"/>
    <w:qFormat/>
    <w:rsid w:val="00E14DA0"/>
    <w:pPr>
      <w:spacing w:before="180" w:after="120"/>
      <w:outlineLvl w:val="2"/>
    </w:pPr>
    <w:rPr>
      <w:spacing w:val="-10"/>
      <w:kern w:val="32"/>
    </w:rPr>
  </w:style>
  <w:style w:type="paragraph" w:styleId="Heading4">
    <w:name w:val="heading 4"/>
    <w:basedOn w:val="HeadingBase"/>
    <w:next w:val="BodyText"/>
    <w:link w:val="Heading4Char"/>
    <w:qFormat/>
    <w:rsid w:val="00E14DA0"/>
    <w:pPr>
      <w:spacing w:before="160" w:after="120"/>
      <w:outlineLvl w:val="3"/>
    </w:pPr>
    <w:rPr>
      <w:sz w:val="22"/>
    </w:rPr>
  </w:style>
  <w:style w:type="paragraph" w:styleId="Heading5">
    <w:name w:val="heading 5"/>
    <w:basedOn w:val="HeadingBase"/>
    <w:next w:val="Normal"/>
    <w:link w:val="Heading5Char"/>
    <w:qFormat/>
    <w:rsid w:val="00E14DA0"/>
    <w:pPr>
      <w:spacing w:before="80"/>
      <w:outlineLvl w:val="4"/>
    </w:pPr>
    <w:rPr>
      <w:color w:val="918585"/>
      <w:sz w:val="20"/>
    </w:rPr>
  </w:style>
  <w:style w:type="paragraph" w:styleId="Heading6">
    <w:name w:val="heading 6"/>
    <w:basedOn w:val="HeadingBase"/>
    <w:next w:val="Normal"/>
    <w:link w:val="Heading6Char"/>
    <w:qFormat/>
    <w:rsid w:val="00E14DA0"/>
    <w:pPr>
      <w:spacing w:before="60"/>
      <w:outlineLvl w:val="5"/>
    </w:pPr>
    <w:rPr>
      <w:color w:val="918585"/>
      <w:sz w:val="20"/>
    </w:rPr>
  </w:style>
  <w:style w:type="paragraph" w:styleId="Heading7">
    <w:name w:val="heading 7"/>
    <w:basedOn w:val="Normal"/>
    <w:next w:val="Normal"/>
    <w:link w:val="Heading7Char"/>
    <w:qFormat/>
    <w:rsid w:val="00E14DA0"/>
    <w:pPr>
      <w:ind w:left="720"/>
      <w:outlineLvl w:val="6"/>
    </w:pPr>
    <w:rPr>
      <w:i/>
    </w:rPr>
  </w:style>
  <w:style w:type="paragraph" w:styleId="Heading8">
    <w:name w:val="heading 8"/>
    <w:basedOn w:val="Normal"/>
    <w:next w:val="Normal"/>
    <w:link w:val="Heading8Char"/>
    <w:qFormat/>
    <w:rsid w:val="00E14DA0"/>
    <w:pPr>
      <w:ind w:left="720"/>
      <w:outlineLvl w:val="7"/>
    </w:pPr>
    <w:rPr>
      <w:i/>
    </w:rPr>
  </w:style>
  <w:style w:type="paragraph" w:styleId="Heading9">
    <w:name w:val="heading 9"/>
    <w:basedOn w:val="Normal"/>
    <w:next w:val="Normal"/>
    <w:link w:val="Heading9Char"/>
    <w:qFormat/>
    <w:rsid w:val="00E14DA0"/>
    <w:pPr>
      <w:ind w:left="720"/>
      <w:outlineLvl w:val="8"/>
    </w:pPr>
    <w:rPr>
      <w:i/>
    </w:rPr>
  </w:style>
  <w:style w:type="character" w:default="1" w:styleId="DefaultParagraphFont">
    <w:name w:val="Default Paragraph Font"/>
    <w:uiPriority w:val="1"/>
    <w:unhideWhenUsed/>
    <w:rsid w:val="00E14D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14DA0"/>
  </w:style>
  <w:style w:type="character" w:customStyle="1" w:styleId="Heading1Char">
    <w:name w:val="Heading 1 Char"/>
    <w:basedOn w:val="DefaultParagraphFont"/>
    <w:link w:val="Heading1"/>
    <w:rsid w:val="00E14DA0"/>
    <w:rPr>
      <w:rFonts w:ascii="Times New Roman" w:eastAsia="Times New Roman" w:hAnsi="Times New Roman" w:cs="Times New Roman"/>
      <w:b/>
      <w:sz w:val="32"/>
      <w:szCs w:val="20"/>
      <w:lang w:eastAsia="en-US"/>
    </w:rPr>
  </w:style>
  <w:style w:type="paragraph" w:styleId="BodyText">
    <w:name w:val="Body Text"/>
    <w:basedOn w:val="Normal"/>
    <w:link w:val="BodyTextChar"/>
    <w:rsid w:val="00E14DA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14DA0"/>
    <w:rPr>
      <w:rFonts w:ascii="Times New Roman" w:eastAsia="Times New Roman" w:hAnsi="Times New Roman" w:cs="Times New Roman"/>
      <w:sz w:val="24"/>
      <w:lang w:eastAsia="en-US"/>
    </w:rPr>
  </w:style>
  <w:style w:type="paragraph" w:styleId="ListBullet">
    <w:name w:val="List Bullet"/>
    <w:basedOn w:val="List"/>
    <w:rsid w:val="00E14DA0"/>
    <w:pPr>
      <w:numPr>
        <w:numId w:val="12"/>
      </w:numPr>
      <w:tabs>
        <w:tab w:val="clear" w:pos="340"/>
      </w:tabs>
      <w:spacing w:before="40" w:after="40"/>
    </w:pPr>
  </w:style>
  <w:style w:type="character" w:customStyle="1" w:styleId="SpecialBold">
    <w:name w:val="Special Bold"/>
    <w:basedOn w:val="DefaultParagraphFont"/>
    <w:rsid w:val="00E14DA0"/>
    <w:rPr>
      <w:b/>
      <w:spacing w:val="0"/>
    </w:rPr>
  </w:style>
  <w:style w:type="paragraph" w:styleId="ListBullet2">
    <w:name w:val="List Bullet 2"/>
    <w:basedOn w:val="List2"/>
    <w:rsid w:val="00E14DA0"/>
    <w:pPr>
      <w:numPr>
        <w:numId w:val="13"/>
      </w:numPr>
      <w:tabs>
        <w:tab w:val="clear" w:pos="680"/>
      </w:tabs>
    </w:pPr>
  </w:style>
  <w:style w:type="paragraph" w:customStyle="1" w:styleId="SuperHeading">
    <w:name w:val="SuperHeading"/>
    <w:basedOn w:val="Normal"/>
    <w:rsid w:val="00E14DA0"/>
    <w:pPr>
      <w:spacing w:before="240" w:after="120"/>
      <w:outlineLvl w:val="0"/>
    </w:pPr>
    <w:rPr>
      <w:rFonts w:ascii="Times New Roman" w:hAnsi="Times New Roman"/>
      <w:b/>
      <w:sz w:val="32"/>
    </w:rPr>
  </w:style>
  <w:style w:type="paragraph" w:customStyle="1" w:styleId="AllowPageBreak">
    <w:name w:val="AllowPageBreak"/>
    <w:rsid w:val="00E14DA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14DA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14DA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14DA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14DA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14DA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14DA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14DA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14DA0"/>
    <w:rPr>
      <w:rFonts w:ascii="Courier New" w:eastAsia="Times New Roman" w:hAnsi="Courier New" w:cs="Times New Roman"/>
      <w:i/>
      <w:szCs w:val="20"/>
      <w:lang w:eastAsia="en-US"/>
    </w:rPr>
  </w:style>
  <w:style w:type="paragraph" w:customStyle="1" w:styleId="HeadingBase">
    <w:name w:val="Heading Base"/>
    <w:rsid w:val="00E14DA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14DA0"/>
    <w:pPr>
      <w:tabs>
        <w:tab w:val="right" w:leader="dot" w:pos="9072"/>
      </w:tabs>
      <w:ind w:left="567"/>
    </w:pPr>
    <w:rPr>
      <w:szCs w:val="22"/>
    </w:rPr>
  </w:style>
  <w:style w:type="paragraph" w:customStyle="1" w:styleId="TOCBase">
    <w:name w:val="TOC Base"/>
    <w:rsid w:val="00E14DA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14DA0"/>
    <w:pPr>
      <w:tabs>
        <w:tab w:val="right" w:leader="dot" w:pos="9072"/>
      </w:tabs>
      <w:spacing w:before="40" w:after="40"/>
      <w:ind w:left="284"/>
    </w:pPr>
    <w:rPr>
      <w:rFonts w:ascii="Times New Roman" w:hAnsi="Times New Roman"/>
    </w:rPr>
  </w:style>
  <w:style w:type="paragraph" w:styleId="TOC1">
    <w:name w:val="toc 1"/>
    <w:basedOn w:val="TOCBase"/>
    <w:next w:val="Normal"/>
    <w:rsid w:val="00E14DA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14DA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14DA0"/>
    <w:rPr>
      <w:rFonts w:ascii="Times New Roman" w:eastAsia="Times New Roman" w:hAnsi="Times New Roman" w:cs="Times New Roman"/>
      <w:sz w:val="16"/>
      <w:lang w:eastAsia="en-US"/>
    </w:rPr>
  </w:style>
  <w:style w:type="paragraph" w:styleId="Title">
    <w:name w:val="Title"/>
    <w:basedOn w:val="HeadingBase"/>
    <w:link w:val="TitleChar"/>
    <w:qFormat/>
    <w:rsid w:val="00E14DA0"/>
    <w:pPr>
      <w:spacing w:before="5040"/>
      <w:jc w:val="center"/>
    </w:pPr>
    <w:rPr>
      <w:sz w:val="48"/>
      <w:szCs w:val="72"/>
      <w:lang w:val="en-US"/>
    </w:rPr>
  </w:style>
  <w:style w:type="character" w:customStyle="1" w:styleId="TitleChar">
    <w:name w:val="Title Char"/>
    <w:basedOn w:val="DefaultParagraphFont"/>
    <w:link w:val="Title"/>
    <w:rsid w:val="00E14DA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14DA0"/>
    <w:pPr>
      <w:tabs>
        <w:tab w:val="left" w:pos="3600"/>
        <w:tab w:val="left" w:pos="3958"/>
      </w:tabs>
    </w:pPr>
  </w:style>
  <w:style w:type="paragraph" w:styleId="List">
    <w:name w:val="List"/>
    <w:basedOn w:val="BodyText"/>
    <w:next w:val="BodyText"/>
    <w:rsid w:val="00E14DA0"/>
    <w:pPr>
      <w:tabs>
        <w:tab w:val="left" w:pos="340"/>
      </w:tabs>
      <w:spacing w:before="60" w:after="60"/>
      <w:ind w:left="340" w:hanging="340"/>
    </w:pPr>
  </w:style>
  <w:style w:type="paragraph" w:customStyle="1" w:styleId="Note">
    <w:name w:val="Note"/>
    <w:basedOn w:val="BodyText"/>
    <w:rsid w:val="00E14DA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14DA0"/>
    <w:pPr>
      <w:framePr w:wrap="auto" w:hAnchor="text" w:y="6049"/>
    </w:pPr>
    <w:rPr>
      <w:color w:val="000000"/>
      <w:sz w:val="40"/>
    </w:rPr>
  </w:style>
  <w:style w:type="paragraph" w:customStyle="1" w:styleId="TOCTitle">
    <w:name w:val="TOCTitle"/>
    <w:basedOn w:val="Heading1"/>
    <w:rsid w:val="00E14DA0"/>
    <w:pPr>
      <w:spacing w:after="240"/>
      <w:jc w:val="center"/>
      <w:outlineLvl w:val="9"/>
    </w:pPr>
    <w:rPr>
      <w:caps/>
    </w:rPr>
  </w:style>
  <w:style w:type="paragraph" w:customStyle="1" w:styleId="Version">
    <w:name w:val="Version"/>
    <w:rsid w:val="00E14DA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14DA0"/>
    <w:pPr>
      <w:keepNext w:val="0"/>
      <w:tabs>
        <w:tab w:val="right" w:pos="4176"/>
      </w:tabs>
      <w:ind w:left="198" w:hanging="198"/>
    </w:pPr>
    <w:rPr>
      <w:rFonts w:ascii="Garamond" w:hAnsi="Garamond"/>
    </w:rPr>
  </w:style>
  <w:style w:type="paragraph" w:styleId="IndexHeading">
    <w:name w:val="index heading"/>
    <w:basedOn w:val="Normal"/>
    <w:next w:val="Index1"/>
    <w:semiHidden/>
    <w:rsid w:val="00E14DA0"/>
    <w:pPr>
      <w:spacing w:before="120" w:after="120"/>
    </w:pPr>
    <w:rPr>
      <w:rFonts w:ascii="Arial" w:hAnsi="Arial"/>
      <w:b/>
      <w:color w:val="918585"/>
      <w:sz w:val="24"/>
    </w:rPr>
  </w:style>
  <w:style w:type="paragraph" w:styleId="Header">
    <w:name w:val="header"/>
    <w:basedOn w:val="Normal"/>
    <w:link w:val="HeaderChar"/>
    <w:rsid w:val="00E14DA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14DA0"/>
    <w:rPr>
      <w:rFonts w:ascii="Times New Roman" w:eastAsia="Times New Roman" w:hAnsi="Times New Roman" w:cs="Times New Roman"/>
      <w:sz w:val="16"/>
      <w:szCs w:val="20"/>
      <w:lang w:val="en-GB" w:eastAsia="en-US"/>
    </w:rPr>
  </w:style>
  <w:style w:type="paragraph" w:customStyle="1" w:styleId="Chapter">
    <w:name w:val="Chapter"/>
    <w:basedOn w:val="Normal"/>
    <w:rsid w:val="00E14DA0"/>
    <w:pPr>
      <w:spacing w:before="240"/>
    </w:pPr>
    <w:rPr>
      <w:rFonts w:ascii="Times New Roman" w:hAnsi="Times New Roman"/>
      <w:smallCaps/>
      <w:spacing w:val="80"/>
      <w:sz w:val="28"/>
    </w:rPr>
  </w:style>
  <w:style w:type="paragraph" w:customStyle="1" w:styleId="InChapter">
    <w:name w:val="InChapter"/>
    <w:basedOn w:val="Heading3"/>
    <w:rsid w:val="00E14DA0"/>
    <w:pPr>
      <w:spacing w:after="240"/>
      <w:outlineLvl w:val="9"/>
    </w:pPr>
    <w:rPr>
      <w:noProof/>
    </w:rPr>
  </w:style>
  <w:style w:type="paragraph" w:styleId="Index2">
    <w:name w:val="index 2"/>
    <w:basedOn w:val="Normal"/>
    <w:next w:val="Normal"/>
    <w:semiHidden/>
    <w:rsid w:val="00E14DA0"/>
    <w:pPr>
      <w:tabs>
        <w:tab w:val="right" w:pos="4176"/>
      </w:tabs>
      <w:ind w:left="568" w:hanging="284"/>
    </w:pPr>
    <w:rPr>
      <w:rFonts w:ascii="Garamond" w:hAnsi="Garamond"/>
    </w:rPr>
  </w:style>
  <w:style w:type="paragraph" w:customStyle="1" w:styleId="Byline">
    <w:name w:val="Byline"/>
    <w:rsid w:val="00E14DA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14DA0"/>
    <w:pPr>
      <w:tabs>
        <w:tab w:val="clear" w:pos="3600"/>
        <w:tab w:val="clear" w:pos="3958"/>
      </w:tabs>
      <w:jc w:val="right"/>
    </w:pPr>
  </w:style>
  <w:style w:type="character" w:styleId="Emphasis">
    <w:name w:val="Emphasis"/>
    <w:basedOn w:val="DefaultParagraphFont"/>
    <w:qFormat/>
    <w:rsid w:val="00E14DA0"/>
    <w:rPr>
      <w:i/>
    </w:rPr>
  </w:style>
  <w:style w:type="paragraph" w:styleId="Caption">
    <w:name w:val="caption"/>
    <w:basedOn w:val="BodyText"/>
    <w:next w:val="Normal"/>
    <w:qFormat/>
    <w:rsid w:val="00E14DA0"/>
    <w:pPr>
      <w:framePr w:w="2268" w:hSpace="181" w:vSpace="181" w:wrap="around" w:vAnchor="text" w:hAnchor="page" w:x="1135" w:y="285" w:anchorLock="1"/>
    </w:pPr>
    <w:rPr>
      <w:i/>
    </w:rPr>
  </w:style>
  <w:style w:type="paragraph" w:customStyle="1" w:styleId="MiniTOCTitle">
    <w:name w:val="MiniTOCTitle"/>
    <w:basedOn w:val="Heading4"/>
    <w:rsid w:val="00E14DA0"/>
    <w:pPr>
      <w:spacing w:before="240"/>
      <w:outlineLvl w:val="9"/>
    </w:pPr>
    <w:rPr>
      <w:noProof/>
      <w:sz w:val="24"/>
    </w:rPr>
  </w:style>
  <w:style w:type="paragraph" w:customStyle="1" w:styleId="MiniTOCItem">
    <w:name w:val="MiniTOCItem"/>
    <w:basedOn w:val="ListBullet"/>
    <w:rsid w:val="00E14DA0"/>
    <w:pPr>
      <w:numPr>
        <w:numId w:val="0"/>
      </w:numPr>
      <w:tabs>
        <w:tab w:val="right" w:leader="dot" w:pos="6521"/>
      </w:tabs>
      <w:spacing w:before="0" w:after="0"/>
    </w:pPr>
  </w:style>
  <w:style w:type="paragraph" w:customStyle="1" w:styleId="TOFTitle">
    <w:name w:val="TOFTitle"/>
    <w:basedOn w:val="TOCTitle"/>
    <w:rsid w:val="00E14DA0"/>
  </w:style>
  <w:style w:type="paragraph" w:styleId="TableofFigures">
    <w:name w:val="table of figures"/>
    <w:basedOn w:val="Normal"/>
    <w:next w:val="Normal"/>
    <w:semiHidden/>
    <w:rsid w:val="00E14DA0"/>
    <w:pPr>
      <w:tabs>
        <w:tab w:val="right" w:leader="dot" w:pos="9072"/>
      </w:tabs>
      <w:ind w:left="970" w:hanging="403"/>
    </w:pPr>
    <w:rPr>
      <w:rFonts w:ascii="Times New Roman" w:hAnsi="Times New Roman"/>
      <w:b/>
    </w:rPr>
  </w:style>
  <w:style w:type="paragraph" w:styleId="ListNumber">
    <w:name w:val="List Number"/>
    <w:basedOn w:val="List"/>
    <w:rsid w:val="00E14DA0"/>
    <w:pPr>
      <w:numPr>
        <w:numId w:val="15"/>
      </w:numPr>
      <w:tabs>
        <w:tab w:val="clear" w:pos="340"/>
      </w:tabs>
    </w:pPr>
  </w:style>
  <w:style w:type="character" w:customStyle="1" w:styleId="WingdingSymbols">
    <w:name w:val="Wingding Symbols"/>
    <w:rsid w:val="00E14DA0"/>
    <w:rPr>
      <w:rFonts w:ascii="Wingdings" w:hAnsi="Wingdings"/>
    </w:rPr>
  </w:style>
  <w:style w:type="paragraph" w:customStyle="1" w:styleId="TableHeading">
    <w:name w:val="Table Heading"/>
    <w:basedOn w:val="HeadingBase"/>
    <w:rsid w:val="00E14DA0"/>
    <w:pPr>
      <w:keepLines/>
      <w:pBdr>
        <w:bottom w:val="single" w:sz="6" w:space="1" w:color="918585"/>
      </w:pBdr>
      <w:spacing w:before="240"/>
    </w:pPr>
  </w:style>
  <w:style w:type="character" w:customStyle="1" w:styleId="HotSpot">
    <w:name w:val="HotSpot"/>
    <w:rsid w:val="00E14DA0"/>
    <w:rPr>
      <w:color w:val="0033CC"/>
      <w:u w:val="none"/>
    </w:rPr>
  </w:style>
  <w:style w:type="paragraph" w:customStyle="1" w:styleId="BodyTextRight">
    <w:name w:val="Body Text Right"/>
    <w:basedOn w:val="BodyText"/>
    <w:rsid w:val="00E14DA0"/>
    <w:pPr>
      <w:spacing w:before="0" w:after="0"/>
      <w:jc w:val="right"/>
    </w:pPr>
  </w:style>
  <w:style w:type="paragraph" w:styleId="Index3">
    <w:name w:val="index 3"/>
    <w:basedOn w:val="ListNumber2"/>
    <w:next w:val="Normal"/>
    <w:semiHidden/>
    <w:rsid w:val="00E14DA0"/>
    <w:pPr>
      <w:numPr>
        <w:numId w:val="0"/>
      </w:numPr>
      <w:tabs>
        <w:tab w:val="right" w:leader="dot" w:pos="4176"/>
      </w:tabs>
    </w:pPr>
  </w:style>
  <w:style w:type="paragraph" w:styleId="ListNumber2">
    <w:name w:val="List Number 2"/>
    <w:basedOn w:val="List2"/>
    <w:rsid w:val="00E14DA0"/>
    <w:pPr>
      <w:numPr>
        <w:numId w:val="10"/>
      </w:numPr>
      <w:tabs>
        <w:tab w:val="clear" w:pos="1060"/>
      </w:tabs>
    </w:pPr>
  </w:style>
  <w:style w:type="paragraph" w:customStyle="1" w:styleId="MarginNote">
    <w:name w:val="Margin Note"/>
    <w:basedOn w:val="BodyText"/>
    <w:rsid w:val="00E14DA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14DA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14DA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14DA0"/>
    <w:rPr>
      <w:sz w:val="32"/>
    </w:rPr>
  </w:style>
  <w:style w:type="paragraph" w:customStyle="1" w:styleId="HeadingProcedure">
    <w:name w:val="Heading Procedure"/>
    <w:basedOn w:val="HeadingBase"/>
    <w:next w:val="Normal"/>
    <w:rsid w:val="00E14DA0"/>
    <w:pPr>
      <w:tabs>
        <w:tab w:val="left" w:pos="0"/>
      </w:tabs>
      <w:spacing w:before="120" w:after="60"/>
    </w:pPr>
    <w:rPr>
      <w:i/>
      <w:color w:val="918585"/>
      <w:sz w:val="22"/>
    </w:rPr>
  </w:style>
  <w:style w:type="paragraph" w:customStyle="1" w:styleId="TableBodyText">
    <w:name w:val="Table Body Text"/>
    <w:basedOn w:val="BodyText"/>
    <w:rsid w:val="00E14DA0"/>
    <w:pPr>
      <w:spacing w:before="60" w:after="60"/>
    </w:pPr>
  </w:style>
  <w:style w:type="paragraph" w:styleId="ListContinue">
    <w:name w:val="List Continue"/>
    <w:basedOn w:val="List"/>
    <w:rsid w:val="00E14DA0"/>
    <w:pPr>
      <w:ind w:firstLine="0"/>
    </w:pPr>
  </w:style>
  <w:style w:type="paragraph" w:customStyle="1" w:styleId="ListNote">
    <w:name w:val="List Note"/>
    <w:basedOn w:val="List"/>
    <w:rsid w:val="00E14DA0"/>
    <w:pPr>
      <w:pBdr>
        <w:top w:val="single" w:sz="6" w:space="2" w:color="918585"/>
        <w:bottom w:val="single" w:sz="6" w:space="2" w:color="918585"/>
      </w:pBdr>
      <w:tabs>
        <w:tab w:val="left" w:pos="1021"/>
      </w:tabs>
      <w:ind w:firstLine="0"/>
    </w:pPr>
  </w:style>
  <w:style w:type="paragraph" w:customStyle="1" w:styleId="Warning">
    <w:name w:val="Warning"/>
    <w:basedOn w:val="BodyText"/>
    <w:rsid w:val="00E14DA0"/>
    <w:pPr>
      <w:shd w:val="clear" w:color="auto" w:fill="D9D9D9"/>
      <w:tabs>
        <w:tab w:val="left" w:pos="992"/>
      </w:tabs>
      <w:ind w:left="119" w:right="119"/>
    </w:pPr>
    <w:rPr>
      <w:sz w:val="20"/>
    </w:rPr>
  </w:style>
  <w:style w:type="paragraph" w:customStyle="1" w:styleId="MarginIcons">
    <w:name w:val="Margin Icons"/>
    <w:basedOn w:val="BodyText"/>
    <w:rsid w:val="00E14DA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14DA0"/>
    <w:rPr>
      <w:rFonts w:ascii="Courier New" w:hAnsi="Courier New"/>
    </w:rPr>
  </w:style>
  <w:style w:type="paragraph" w:customStyle="1" w:styleId="NoteBullet">
    <w:name w:val="Note Bullet"/>
    <w:basedOn w:val="Note"/>
    <w:rsid w:val="00E14DA0"/>
    <w:pPr>
      <w:tabs>
        <w:tab w:val="clear" w:pos="680"/>
      </w:tabs>
      <w:spacing w:before="60" w:after="60"/>
    </w:pPr>
  </w:style>
  <w:style w:type="paragraph" w:customStyle="1" w:styleId="SubHeading2">
    <w:name w:val="SubHeading2"/>
    <w:basedOn w:val="HeadingBase"/>
    <w:rsid w:val="00E14DA0"/>
    <w:pPr>
      <w:spacing w:before="240" w:after="60"/>
    </w:pPr>
    <w:rPr>
      <w:sz w:val="20"/>
    </w:rPr>
  </w:style>
  <w:style w:type="paragraph" w:customStyle="1" w:styleId="SubHeading1">
    <w:name w:val="SubHeading1"/>
    <w:basedOn w:val="HeadingBase"/>
    <w:rsid w:val="00E14DA0"/>
    <w:pPr>
      <w:spacing w:before="240" w:after="60"/>
    </w:pPr>
    <w:rPr>
      <w:color w:val="918585"/>
      <w:sz w:val="22"/>
    </w:rPr>
  </w:style>
  <w:style w:type="paragraph" w:customStyle="1" w:styleId="SideHeading">
    <w:name w:val="Side Heading"/>
    <w:basedOn w:val="HeadingBase"/>
    <w:rsid w:val="00E14DA0"/>
    <w:pPr>
      <w:framePr w:w="2268" w:h="567" w:hSpace="181" w:vSpace="181" w:wrap="around" w:vAnchor="text" w:hAnchor="page" w:x="1419" w:y="370" w:anchorLock="1"/>
    </w:pPr>
    <w:rPr>
      <w:sz w:val="22"/>
    </w:rPr>
  </w:style>
  <w:style w:type="paragraph" w:customStyle="1" w:styleId="TableListBullet">
    <w:name w:val="Table List Bullet"/>
    <w:basedOn w:val="ListBullet"/>
    <w:rsid w:val="00E14DA0"/>
    <w:pPr>
      <w:tabs>
        <w:tab w:val="num" w:pos="360"/>
      </w:tabs>
    </w:pPr>
  </w:style>
  <w:style w:type="paragraph" w:styleId="PlainText">
    <w:name w:val="Plain Text"/>
    <w:basedOn w:val="Normal"/>
    <w:link w:val="PlainTextChar"/>
    <w:rsid w:val="00E14DA0"/>
    <w:rPr>
      <w:sz w:val="20"/>
    </w:rPr>
  </w:style>
  <w:style w:type="character" w:customStyle="1" w:styleId="PlainTextChar">
    <w:name w:val="Plain Text Char"/>
    <w:basedOn w:val="DefaultParagraphFont"/>
    <w:link w:val="PlainText"/>
    <w:rsid w:val="00E14DA0"/>
    <w:rPr>
      <w:rFonts w:ascii="Courier New" w:eastAsia="Times New Roman" w:hAnsi="Courier New" w:cs="Times New Roman"/>
      <w:sz w:val="20"/>
      <w:szCs w:val="20"/>
      <w:lang w:eastAsia="en-US"/>
    </w:rPr>
  </w:style>
  <w:style w:type="character" w:customStyle="1" w:styleId="MenuOption">
    <w:name w:val="Menu Option"/>
    <w:basedOn w:val="DefaultParagraphFont"/>
    <w:rsid w:val="00E14DA0"/>
    <w:rPr>
      <w:b/>
      <w:smallCaps/>
    </w:rPr>
  </w:style>
  <w:style w:type="paragraph" w:customStyle="1" w:styleId="TableListNumber">
    <w:name w:val="Table List Number"/>
    <w:basedOn w:val="ListNumber"/>
    <w:rsid w:val="00E14DA0"/>
    <w:pPr>
      <w:numPr>
        <w:numId w:val="0"/>
      </w:numPr>
    </w:pPr>
  </w:style>
  <w:style w:type="paragraph" w:styleId="TOC4">
    <w:name w:val="toc 4"/>
    <w:basedOn w:val="TOCBase"/>
    <w:next w:val="Normal"/>
    <w:semiHidden/>
    <w:rsid w:val="00E14DA0"/>
    <w:pPr>
      <w:tabs>
        <w:tab w:val="right" w:leader="dot" w:pos="9071"/>
      </w:tabs>
      <w:ind w:left="1701"/>
    </w:pPr>
  </w:style>
  <w:style w:type="paragraph" w:customStyle="1" w:styleId="ListAlpha">
    <w:name w:val="List Alpha"/>
    <w:basedOn w:val="List"/>
    <w:rsid w:val="00E14DA0"/>
    <w:pPr>
      <w:numPr>
        <w:numId w:val="9"/>
      </w:numPr>
    </w:pPr>
  </w:style>
  <w:style w:type="paragraph" w:customStyle="1" w:styleId="ListAlpha2">
    <w:name w:val="List Alpha 2"/>
    <w:basedOn w:val="List2"/>
    <w:rsid w:val="00E14DA0"/>
    <w:pPr>
      <w:numPr>
        <w:numId w:val="8"/>
      </w:numPr>
    </w:pPr>
  </w:style>
  <w:style w:type="paragraph" w:styleId="List2">
    <w:name w:val="List 2"/>
    <w:basedOn w:val="BodyText"/>
    <w:rsid w:val="00E14DA0"/>
    <w:pPr>
      <w:tabs>
        <w:tab w:val="left" w:pos="680"/>
      </w:tabs>
      <w:spacing w:before="60" w:after="60"/>
      <w:ind w:left="680" w:hanging="340"/>
    </w:pPr>
  </w:style>
  <w:style w:type="paragraph" w:styleId="List3">
    <w:name w:val="List 3"/>
    <w:basedOn w:val="BodyText"/>
    <w:rsid w:val="00E14DA0"/>
    <w:pPr>
      <w:tabs>
        <w:tab w:val="left" w:pos="1021"/>
      </w:tabs>
      <w:spacing w:before="60" w:after="60"/>
      <w:ind w:left="1020" w:hanging="340"/>
    </w:pPr>
  </w:style>
  <w:style w:type="paragraph" w:styleId="List4">
    <w:name w:val="List 4"/>
    <w:basedOn w:val="BodyText"/>
    <w:rsid w:val="00E14DA0"/>
    <w:pPr>
      <w:tabs>
        <w:tab w:val="left" w:pos="1361"/>
      </w:tabs>
      <w:spacing w:before="60" w:after="60"/>
      <w:ind w:left="1361" w:hanging="340"/>
    </w:pPr>
  </w:style>
  <w:style w:type="paragraph" w:styleId="List5">
    <w:name w:val="List 5"/>
    <w:basedOn w:val="BodyText"/>
    <w:rsid w:val="00E14DA0"/>
    <w:pPr>
      <w:tabs>
        <w:tab w:val="left" w:pos="1701"/>
      </w:tabs>
      <w:spacing w:before="60" w:after="60"/>
      <w:ind w:left="1701" w:hanging="340"/>
    </w:pPr>
  </w:style>
  <w:style w:type="paragraph" w:styleId="ListBullet3">
    <w:name w:val="List Bullet 3"/>
    <w:basedOn w:val="List3"/>
    <w:rsid w:val="00E14DA0"/>
    <w:pPr>
      <w:numPr>
        <w:numId w:val="14"/>
      </w:numPr>
      <w:tabs>
        <w:tab w:val="clear" w:pos="1021"/>
      </w:tabs>
      <w:ind w:left="1037" w:hanging="357"/>
    </w:pPr>
  </w:style>
  <w:style w:type="paragraph" w:styleId="ListBullet4">
    <w:name w:val="List Bullet 4"/>
    <w:basedOn w:val="List4"/>
    <w:rsid w:val="00E14DA0"/>
    <w:pPr>
      <w:numPr>
        <w:numId w:val="3"/>
      </w:numPr>
      <w:tabs>
        <w:tab w:val="clear" w:pos="1361"/>
      </w:tabs>
    </w:pPr>
  </w:style>
  <w:style w:type="paragraph" w:styleId="ListBullet5">
    <w:name w:val="List Bullet 5"/>
    <w:basedOn w:val="List5"/>
    <w:rsid w:val="00E14DA0"/>
    <w:pPr>
      <w:numPr>
        <w:numId w:val="4"/>
      </w:numPr>
    </w:pPr>
  </w:style>
  <w:style w:type="paragraph" w:styleId="ListContinue2">
    <w:name w:val="List Continue 2"/>
    <w:basedOn w:val="List2"/>
    <w:rsid w:val="00E14DA0"/>
    <w:pPr>
      <w:ind w:firstLine="0"/>
    </w:pPr>
  </w:style>
  <w:style w:type="paragraph" w:styleId="ListContinue3">
    <w:name w:val="List Continue 3"/>
    <w:basedOn w:val="List3"/>
    <w:rsid w:val="00E14DA0"/>
    <w:pPr>
      <w:ind w:left="1021" w:firstLine="0"/>
    </w:pPr>
  </w:style>
  <w:style w:type="paragraph" w:styleId="ListContinue4">
    <w:name w:val="List Continue 4"/>
    <w:basedOn w:val="List4"/>
    <w:rsid w:val="00E14DA0"/>
    <w:pPr>
      <w:ind w:firstLine="0"/>
    </w:pPr>
  </w:style>
  <w:style w:type="paragraph" w:styleId="ListContinue5">
    <w:name w:val="List Continue 5"/>
    <w:basedOn w:val="List5"/>
    <w:rsid w:val="00E14DA0"/>
    <w:pPr>
      <w:ind w:firstLine="0"/>
    </w:pPr>
  </w:style>
  <w:style w:type="paragraph" w:styleId="ListNumber3">
    <w:name w:val="List Number 3"/>
    <w:basedOn w:val="List3"/>
    <w:rsid w:val="00E14DA0"/>
    <w:pPr>
      <w:numPr>
        <w:numId w:val="5"/>
      </w:numPr>
    </w:pPr>
  </w:style>
  <w:style w:type="paragraph" w:styleId="ListNumber4">
    <w:name w:val="List Number 4"/>
    <w:basedOn w:val="List4"/>
    <w:rsid w:val="00E14DA0"/>
    <w:pPr>
      <w:numPr>
        <w:numId w:val="6"/>
      </w:numPr>
    </w:pPr>
  </w:style>
  <w:style w:type="paragraph" w:styleId="ListNumber5">
    <w:name w:val="List Number 5"/>
    <w:basedOn w:val="List5"/>
    <w:rsid w:val="00E14DA0"/>
    <w:pPr>
      <w:numPr>
        <w:numId w:val="7"/>
      </w:numPr>
    </w:pPr>
  </w:style>
  <w:style w:type="paragraph" w:styleId="BlockText">
    <w:name w:val="Block Text"/>
    <w:basedOn w:val="Normal"/>
    <w:rsid w:val="00E14DA0"/>
    <w:pPr>
      <w:spacing w:after="120"/>
      <w:ind w:left="1440" w:right="1440"/>
    </w:pPr>
  </w:style>
  <w:style w:type="character" w:customStyle="1" w:styleId="Subscript">
    <w:name w:val="Subscript"/>
    <w:basedOn w:val="DefaultParagraphFont"/>
    <w:rsid w:val="00E14DA0"/>
    <w:rPr>
      <w:sz w:val="16"/>
      <w:vertAlign w:val="subscript"/>
    </w:rPr>
  </w:style>
  <w:style w:type="character" w:customStyle="1" w:styleId="Superscript">
    <w:name w:val="Superscript"/>
    <w:basedOn w:val="DefaultParagraphFont"/>
    <w:rsid w:val="00E14DA0"/>
    <w:rPr>
      <w:sz w:val="16"/>
      <w:vertAlign w:val="superscript"/>
    </w:rPr>
  </w:style>
  <w:style w:type="character" w:customStyle="1" w:styleId="Symbols">
    <w:name w:val="Symbols"/>
    <w:basedOn w:val="DefaultParagraphFont"/>
    <w:rsid w:val="00E14DA0"/>
    <w:rPr>
      <w:rFonts w:ascii="Symbol" w:hAnsi="Symbol"/>
    </w:rPr>
  </w:style>
  <w:style w:type="character" w:customStyle="1" w:styleId="MenuOptions">
    <w:name w:val="Menu Options"/>
    <w:basedOn w:val="DefaultParagraphFont"/>
    <w:rsid w:val="00E14DA0"/>
    <w:rPr>
      <w:rFonts w:ascii="Arial Narrow" w:hAnsi="Arial Narrow"/>
      <w:smallCaps/>
    </w:rPr>
  </w:style>
  <w:style w:type="character" w:customStyle="1" w:styleId="Buttons">
    <w:name w:val="Buttons"/>
    <w:basedOn w:val="DefaultParagraphFont"/>
    <w:rsid w:val="00E14DA0"/>
    <w:rPr>
      <w:b/>
    </w:rPr>
  </w:style>
  <w:style w:type="character" w:customStyle="1" w:styleId="Underlined">
    <w:name w:val="Underlined"/>
    <w:basedOn w:val="DefaultParagraphFont"/>
    <w:rsid w:val="00E14DA0"/>
    <w:rPr>
      <w:u w:val="single"/>
    </w:rPr>
  </w:style>
  <w:style w:type="paragraph" w:customStyle="1" w:styleId="TableBodyTextRight">
    <w:name w:val="Table Body Text Right"/>
    <w:basedOn w:val="TableBodyText"/>
    <w:rsid w:val="00E14DA0"/>
    <w:pPr>
      <w:widowControl w:val="0"/>
      <w:autoSpaceDE w:val="0"/>
      <w:autoSpaceDN w:val="0"/>
      <w:adjustRightInd w:val="0"/>
      <w:jc w:val="right"/>
    </w:pPr>
    <w:rPr>
      <w:rFonts w:cs="Arial"/>
      <w:szCs w:val="18"/>
    </w:rPr>
  </w:style>
  <w:style w:type="paragraph" w:customStyle="1" w:styleId="CopyrightText">
    <w:name w:val="Copyright Text"/>
    <w:basedOn w:val="BodyText"/>
    <w:rsid w:val="00E14DA0"/>
    <w:rPr>
      <w:sz w:val="18"/>
    </w:rPr>
  </w:style>
  <w:style w:type="paragraph" w:customStyle="1" w:styleId="BodySmallRight">
    <w:name w:val="Body Small Right"/>
    <w:basedOn w:val="BodyTextRight"/>
    <w:rsid w:val="00E14DA0"/>
    <w:rPr>
      <w:sz w:val="18"/>
      <w:szCs w:val="18"/>
    </w:rPr>
  </w:style>
  <w:style w:type="paragraph" w:customStyle="1" w:styleId="MarginEdition">
    <w:name w:val="Margin Edition"/>
    <w:basedOn w:val="MarginNote"/>
    <w:rsid w:val="00E14DA0"/>
    <w:pPr>
      <w:spacing w:before="0" w:after="0"/>
    </w:pPr>
    <w:rPr>
      <w:rFonts w:ascii="Times New Roman" w:hAnsi="Times New Roman"/>
      <w:color w:val="999999"/>
    </w:rPr>
  </w:style>
  <w:style w:type="paragraph" w:customStyle="1" w:styleId="Spacer">
    <w:name w:val="Spacer"/>
    <w:basedOn w:val="Normal"/>
    <w:rsid w:val="00E14DA0"/>
    <w:rPr>
      <w:sz w:val="2"/>
      <w:szCs w:val="2"/>
    </w:rPr>
  </w:style>
  <w:style w:type="character" w:customStyle="1" w:styleId="Small">
    <w:name w:val="Small"/>
    <w:basedOn w:val="DefaultParagraphFont"/>
    <w:rsid w:val="00E14DA0"/>
    <w:rPr>
      <w:sz w:val="16"/>
    </w:rPr>
  </w:style>
  <w:style w:type="paragraph" w:customStyle="1" w:styleId="WideTable">
    <w:name w:val="Wide Table"/>
    <w:basedOn w:val="Normal"/>
    <w:rsid w:val="00E14DA0"/>
    <w:pPr>
      <w:ind w:left="-1418"/>
    </w:pPr>
    <w:rPr>
      <w:sz w:val="2"/>
      <w:szCs w:val="2"/>
    </w:rPr>
  </w:style>
  <w:style w:type="character" w:styleId="PageNumber">
    <w:name w:val="page number"/>
    <w:basedOn w:val="DefaultParagraphFont"/>
    <w:rsid w:val="00E14DA0"/>
  </w:style>
  <w:style w:type="paragraph" w:styleId="Quote">
    <w:name w:val="Quote"/>
    <w:basedOn w:val="Heading1"/>
    <w:link w:val="QuoteChar"/>
    <w:qFormat/>
    <w:rsid w:val="00E14DA0"/>
    <w:rPr>
      <w:b w:val="0"/>
      <w:sz w:val="72"/>
      <w:szCs w:val="72"/>
      <w:lang w:val="en-NZ"/>
    </w:rPr>
  </w:style>
  <w:style w:type="character" w:customStyle="1" w:styleId="QuoteChar">
    <w:name w:val="Quote Char"/>
    <w:basedOn w:val="DefaultParagraphFont"/>
    <w:link w:val="Quote"/>
    <w:rsid w:val="00E14DA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14DA0"/>
    <w:pPr>
      <w:pageBreakBefore/>
    </w:pPr>
  </w:style>
  <w:style w:type="paragraph" w:customStyle="1" w:styleId="Border">
    <w:name w:val="Border"/>
    <w:basedOn w:val="Normal"/>
    <w:qFormat/>
    <w:rsid w:val="00E14DA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14DA0"/>
    <w:rPr>
      <w:b/>
      <w:bCs/>
      <w:i/>
      <w:iCs/>
      <w:color w:val="auto"/>
    </w:rPr>
  </w:style>
  <w:style w:type="paragraph" w:styleId="IntenseQuote">
    <w:name w:val="Intense Quote"/>
    <w:basedOn w:val="Normal"/>
    <w:next w:val="Normal"/>
    <w:link w:val="IntenseQuoteChar"/>
    <w:uiPriority w:val="30"/>
    <w:qFormat/>
    <w:rsid w:val="00E14DA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14DA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14DA0"/>
    <w:rPr>
      <w:smallCaps/>
      <w:color w:val="auto"/>
      <w:u w:val="single"/>
    </w:rPr>
  </w:style>
  <w:style w:type="character" w:styleId="IntenseReference">
    <w:name w:val="Intense Reference"/>
    <w:basedOn w:val="DefaultParagraphFont"/>
    <w:uiPriority w:val="32"/>
    <w:qFormat/>
    <w:rsid w:val="00E14DA0"/>
    <w:rPr>
      <w:b/>
      <w:bCs/>
      <w:smallCaps/>
      <w:color w:val="auto"/>
      <w:spacing w:val="5"/>
      <w:u w:val="single"/>
    </w:rPr>
  </w:style>
  <w:style w:type="paragraph" w:customStyle="1" w:styleId="2ColumnHeading">
    <w:name w:val="2Column Heading"/>
    <w:basedOn w:val="BodyText"/>
    <w:qFormat/>
    <w:rsid w:val="00E14DA0"/>
    <w:pPr>
      <w:spacing w:after="60"/>
      <w:ind w:left="-2268"/>
    </w:pPr>
    <w:rPr>
      <w:b/>
    </w:rPr>
  </w:style>
  <w:style w:type="paragraph" w:customStyle="1" w:styleId="Heading1TOC">
    <w:name w:val="Heading1 TOC"/>
    <w:basedOn w:val="Normal"/>
    <w:qFormat/>
    <w:rsid w:val="00E14DA0"/>
    <w:pPr>
      <w:spacing w:before="240" w:after="120"/>
    </w:pPr>
    <w:rPr>
      <w:rFonts w:ascii="Times New Roman" w:hAnsi="Times New Roman"/>
      <w:b/>
      <w:sz w:val="32"/>
    </w:rPr>
  </w:style>
  <w:style w:type="paragraph" w:customStyle="1" w:styleId="Heading2TOC">
    <w:name w:val="Heading2 TOC"/>
    <w:basedOn w:val="Normal"/>
    <w:qFormat/>
    <w:rsid w:val="00E14DA0"/>
    <w:pPr>
      <w:spacing w:before="240" w:after="60"/>
    </w:pPr>
    <w:rPr>
      <w:rFonts w:ascii="Times New Roman" w:hAnsi="Times New Roman"/>
      <w:b/>
      <w:sz w:val="28"/>
    </w:rPr>
  </w:style>
  <w:style w:type="character" w:customStyle="1" w:styleId="Underline">
    <w:name w:val="Underline"/>
    <w:basedOn w:val="DefaultParagraphFont"/>
    <w:qFormat/>
    <w:rsid w:val="00E14DA0"/>
    <w:rPr>
      <w:u w:val="single"/>
    </w:rPr>
  </w:style>
  <w:style w:type="character" w:customStyle="1" w:styleId="BoldandItalics">
    <w:name w:val="Bold and Italics"/>
    <w:qFormat/>
    <w:rsid w:val="00E14DA0"/>
    <w:rPr>
      <w:b/>
      <w:i/>
      <w:u w:val="none"/>
    </w:rPr>
  </w:style>
  <w:style w:type="paragraph" w:styleId="BalloonText">
    <w:name w:val="Balloon Text"/>
    <w:basedOn w:val="Normal"/>
    <w:link w:val="BalloonTextChar"/>
    <w:rsid w:val="00E14DA0"/>
    <w:rPr>
      <w:rFonts w:ascii="Tahoma" w:hAnsi="Tahoma" w:cs="Tahoma"/>
      <w:sz w:val="16"/>
      <w:szCs w:val="16"/>
    </w:rPr>
  </w:style>
  <w:style w:type="character" w:customStyle="1" w:styleId="BalloonTextChar">
    <w:name w:val="Balloon Text Char"/>
    <w:basedOn w:val="DefaultParagraphFont"/>
    <w:link w:val="BalloonText"/>
    <w:rsid w:val="00E14DA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14DA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14DA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14DA0"/>
    <w:rPr>
      <w:b/>
      <w:color w:val="660033"/>
      <w:spacing w:val="0"/>
    </w:rPr>
  </w:style>
  <w:style w:type="paragraph" w:customStyle="1" w:styleId="Nameditemlist">
    <w:name w:val="Named item list"/>
    <w:basedOn w:val="BodyText"/>
    <w:qFormat/>
    <w:rsid w:val="00E14DA0"/>
    <w:pPr>
      <w:tabs>
        <w:tab w:val="left" w:pos="2835"/>
      </w:tabs>
      <w:ind w:left="2835" w:hanging="2835"/>
    </w:pPr>
  </w:style>
  <w:style w:type="paragraph" w:customStyle="1" w:styleId="BodyTextnopadding">
    <w:name w:val="Body Text no padding"/>
    <w:basedOn w:val="BodyText"/>
    <w:qFormat/>
    <w:rsid w:val="00E14DA0"/>
    <w:pPr>
      <w:spacing w:before="0" w:after="0"/>
    </w:pPr>
  </w:style>
  <w:style w:type="paragraph" w:customStyle="1" w:styleId="BodyTextBold">
    <w:name w:val="Body Text Bold"/>
    <w:basedOn w:val="BodyText"/>
    <w:qFormat/>
    <w:rsid w:val="00E14DA0"/>
    <w:rPr>
      <w:b/>
    </w:rPr>
  </w:style>
  <w:style w:type="character" w:styleId="Hyperlink">
    <w:name w:val="Hyperlink"/>
    <w:basedOn w:val="DefaultParagraphFont"/>
    <w:uiPriority w:val="99"/>
    <w:unhideWhenUsed/>
    <w:rsid w:val="005C3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a53af4e4-b400-484e-b778-71c9e9d6aff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752</Words>
  <Characters>4933</Characters>
  <Application>Microsoft Office Word</Application>
  <DocSecurity>0</DocSecurity>
  <Lines>114</Lines>
  <Paragraphs>74</Paragraphs>
  <ScaleCrop>false</ScaleCrop>
  <Company>Author-it Software Corporation Ltd.</Company>
  <LinksUpToDate>false</LinksUpToDate>
  <CharactersWithSpaces>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ICTCBL237 Install, maintain and modify customer premises communications cabling: ACMA Open Rule</dc:title>
  <dc:subject>Approved</dc:subject>
  <dc:creator>PwC’s Skills for Australia</dc:creator>
  <cp:keywords>Release: 2</cp:keywords>
  <dc:description>Review Date: 12 April 2008</dc:description>
  <cp:lastModifiedBy>HSD_TPCMSd.prod</cp:lastModifiedBy>
  <cp:revision>3</cp:revision>
  <dcterms:created xsi:type="dcterms:W3CDTF">2020-07-07T04:38:00Z</dcterms:created>
  <dcterms:modified xsi:type="dcterms:W3CDTF">2020-07-07T04:38:00Z</dcterms:modified>
</cp:coreProperties>
</file>