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146E" w:rsidRDefault="0071146E" w:rsidP="0071146E">
      <w:pPr>
        <w:pStyle w:val="Title"/>
      </w:pPr>
      <w:r>
        <w:fldChar w:fldCharType="begin"/>
      </w:r>
      <w:r>
        <w:instrText xml:space="preserve"> TITLE   \* MERGEFORMAT </w:instrText>
      </w:r>
      <w:r>
        <w:fldChar w:fldCharType="separate"/>
      </w:r>
      <w:r>
        <w:t>HLTAHW409B Deliver health promotion programs for Aboriginal and/or Torres Strait Islander communities</w:t>
      </w:r>
      <w:r>
        <w:fldChar w:fldCharType="end"/>
      </w:r>
    </w:p>
    <w:p w:rsidR="0071146E" w:rsidRDefault="0071146E" w:rsidP="0071146E">
      <w:pPr>
        <w:pStyle w:val="Version"/>
        <w:sectPr w:rsidR="0071146E" w:rsidSect="000B2D13">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0B2D13" w:rsidRDefault="0071146E" w:rsidP="000B2D13">
      <w:pPr>
        <w:pStyle w:val="SuperHeading"/>
      </w:pPr>
      <w:r w:rsidRPr="000B2D13">
        <w:lastRenderedPageBreak/>
        <w:t>HLTAHW409B Deliver health promotion programs for Aboriginal and/or Torres Strait Islander communities</w:t>
      </w:r>
    </w:p>
    <w:p w:rsidR="00000000" w:rsidRPr="000B2D13" w:rsidRDefault="0071146E" w:rsidP="000B2D13">
      <w:pPr>
        <w:pStyle w:val="Heading1"/>
      </w:pPr>
      <w:bookmarkStart w:id="1" w:name="O_270919"/>
      <w:bookmarkEnd w:id="1"/>
      <w:r w:rsidRPr="000B2D13">
        <w:t>Modification History</w:t>
      </w:r>
    </w:p>
    <w:p w:rsidR="00000000" w:rsidRPr="000B2D13" w:rsidRDefault="0071146E" w:rsidP="000B2D13">
      <w:pPr>
        <w:pStyle w:val="BodyText"/>
      </w:pPr>
      <w:r w:rsidRPr="000B2D13">
        <w:t>Not Applicable</w:t>
      </w:r>
    </w:p>
    <w:p w:rsidR="00000000" w:rsidRPr="000B2D13" w:rsidRDefault="0071146E" w:rsidP="000B2D13">
      <w:pPr>
        <w:pStyle w:val="AllowPageBreak"/>
      </w:pPr>
    </w:p>
    <w:p w:rsidR="00000000" w:rsidRPr="000B2D13" w:rsidRDefault="0071146E" w:rsidP="000B2D13">
      <w:pPr>
        <w:pStyle w:val="Heading1"/>
      </w:pPr>
      <w:bookmarkStart w:id="2" w:name="O_205018"/>
      <w:bookmarkEnd w:id="2"/>
      <w:r w:rsidRPr="000B2D13">
        <w:t>Unit Descriptor</w:t>
      </w:r>
    </w:p>
    <w:tbl>
      <w:tblPr>
        <w:tblW w:w="0" w:type="auto"/>
        <w:tblLayout w:type="fixed"/>
        <w:tblCellMar>
          <w:left w:w="62" w:type="dxa"/>
          <w:right w:w="62" w:type="dxa"/>
        </w:tblCellMar>
        <w:tblLook w:val="0000" w:firstRow="0" w:lastRow="0" w:firstColumn="0" w:lastColumn="0" w:noHBand="0" w:noVBand="0"/>
      </w:tblPr>
      <w:tblGrid>
        <w:gridCol w:w="3262"/>
        <w:gridCol w:w="5294"/>
      </w:tblGrid>
      <w:tr w:rsidR="00000000" w:rsidRPr="000B2D13" w:rsidTr="0071146E">
        <w:trPr>
          <w:tblHeader/>
        </w:trPr>
        <w:tc>
          <w:tcPr>
            <w:tcW w:w="326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SpecialBold"/>
              </w:rPr>
              <w:t>Unit Descriptor</w:t>
            </w:r>
          </w:p>
        </w:tc>
        <w:tc>
          <w:tcPr>
            <w:tcW w:w="5294"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This unit describes the competencies required to deliver health promotion programs to address identified needs in Aboriginal and/or Torres Strait Islander communities</w:t>
            </w:r>
          </w:p>
        </w:tc>
      </w:tr>
    </w:tbl>
    <w:p w:rsidR="0071146E" w:rsidRDefault="0071146E" w:rsidP="000B2D13">
      <w:pPr>
        <w:pStyle w:val="BodyText"/>
      </w:pPr>
    </w:p>
    <w:p w:rsidR="0071146E" w:rsidRDefault="0071146E" w:rsidP="000B2D13">
      <w:pPr>
        <w:pStyle w:val="BodyText"/>
      </w:pPr>
    </w:p>
    <w:p w:rsidR="00000000" w:rsidRPr="000B2D13" w:rsidRDefault="0071146E" w:rsidP="000B2D13">
      <w:pPr>
        <w:pStyle w:val="Heading1"/>
      </w:pPr>
      <w:bookmarkStart w:id="3" w:name="O_205020"/>
      <w:bookmarkEnd w:id="3"/>
      <w:r w:rsidRPr="000B2D13">
        <w:t>Application of the Unit</w:t>
      </w:r>
    </w:p>
    <w:tbl>
      <w:tblPr>
        <w:tblW w:w="0" w:type="auto"/>
        <w:tblLayout w:type="fixed"/>
        <w:tblCellMar>
          <w:left w:w="62" w:type="dxa"/>
          <w:right w:w="62" w:type="dxa"/>
        </w:tblCellMar>
        <w:tblLook w:val="0000" w:firstRow="0" w:lastRow="0" w:firstColumn="0" w:lastColumn="0" w:noHBand="0" w:noVBand="0"/>
      </w:tblPr>
      <w:tblGrid>
        <w:gridCol w:w="3349"/>
        <w:gridCol w:w="5207"/>
      </w:tblGrid>
      <w:tr w:rsidR="00000000" w:rsidRPr="000B2D13" w:rsidTr="0071146E">
        <w:trPr>
          <w:tblHeader/>
        </w:trPr>
        <w:tc>
          <w:tcPr>
            <w:tcW w:w="3349"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SpecialBold"/>
              </w:rPr>
              <w:t>Application</w:t>
            </w:r>
          </w:p>
        </w:tc>
        <w:tc>
          <w:tcPr>
            <w:tcW w:w="5207"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This unit is intended to address skills and knowledge required by those working with Aboriginal or Torres Strait Islander communities at Certificate IV level to deliver health promotion programs</w:t>
            </w:r>
          </w:p>
        </w:tc>
      </w:tr>
    </w:tbl>
    <w:p w:rsidR="0071146E" w:rsidRDefault="0071146E" w:rsidP="000B2D13">
      <w:pPr>
        <w:pStyle w:val="BodyText"/>
      </w:pPr>
    </w:p>
    <w:p w:rsidR="0071146E" w:rsidRDefault="0071146E" w:rsidP="000B2D13">
      <w:pPr>
        <w:pStyle w:val="BodyText"/>
      </w:pPr>
    </w:p>
    <w:p w:rsidR="00000000" w:rsidRPr="000B2D13" w:rsidRDefault="0071146E" w:rsidP="000B2D13">
      <w:pPr>
        <w:pStyle w:val="Heading1"/>
      </w:pPr>
      <w:bookmarkStart w:id="4" w:name="O_279179"/>
      <w:bookmarkEnd w:id="4"/>
      <w:r w:rsidRPr="000B2D13">
        <w:t>Licensing/Regulatory Inform</w:t>
      </w:r>
      <w:r w:rsidRPr="000B2D13">
        <w:t>ation</w:t>
      </w:r>
    </w:p>
    <w:p w:rsidR="00000000" w:rsidRPr="000B2D13" w:rsidRDefault="0071146E" w:rsidP="000B2D13">
      <w:pPr>
        <w:pStyle w:val="BodyText"/>
      </w:pPr>
      <w:r w:rsidRPr="000B2D13">
        <w:t>Not Applicable</w:t>
      </w:r>
    </w:p>
    <w:p w:rsidR="00000000" w:rsidRPr="000B2D13" w:rsidRDefault="0071146E" w:rsidP="000B2D13">
      <w:pPr>
        <w:pStyle w:val="AllowPageBreak"/>
      </w:pPr>
    </w:p>
    <w:p w:rsidR="00000000" w:rsidRPr="000B2D13" w:rsidRDefault="0071146E" w:rsidP="000B2D13">
      <w:pPr>
        <w:pStyle w:val="Heading1"/>
      </w:pPr>
      <w:bookmarkStart w:id="5" w:name="O_283964"/>
      <w:bookmarkEnd w:id="5"/>
      <w:r w:rsidRPr="000B2D13">
        <w:t>Pre-Requisites</w:t>
      </w:r>
    </w:p>
    <w:p w:rsidR="00000000" w:rsidRPr="000B2D13" w:rsidRDefault="0071146E" w:rsidP="000B2D13">
      <w:pPr>
        <w:pStyle w:val="BodyText"/>
      </w:pPr>
      <w:r w:rsidRPr="000B2D13">
        <w:t>Not Applicable</w:t>
      </w:r>
    </w:p>
    <w:p w:rsidR="00000000" w:rsidRPr="000B2D13" w:rsidRDefault="0071146E" w:rsidP="000B2D13">
      <w:pPr>
        <w:pStyle w:val="AllowPageBreak"/>
      </w:pPr>
    </w:p>
    <w:p w:rsidR="00000000" w:rsidRPr="000B2D13" w:rsidRDefault="0071146E" w:rsidP="000B2D13">
      <w:pPr>
        <w:pStyle w:val="Heading1"/>
      </w:pPr>
      <w:bookmarkStart w:id="6" w:name="O_205019"/>
      <w:bookmarkEnd w:id="6"/>
      <w:r w:rsidRPr="000B2D13">
        <w:lastRenderedPageBreak/>
        <w:t>Employability Skills Information</w:t>
      </w:r>
    </w:p>
    <w:tbl>
      <w:tblPr>
        <w:tblW w:w="0" w:type="auto"/>
        <w:tblLayout w:type="fixed"/>
        <w:tblCellMar>
          <w:left w:w="62" w:type="dxa"/>
          <w:right w:w="62" w:type="dxa"/>
        </w:tblCellMar>
        <w:tblLook w:val="0000" w:firstRow="0" w:lastRow="0" w:firstColumn="0" w:lastColumn="0" w:noHBand="0" w:noVBand="0"/>
      </w:tblPr>
      <w:tblGrid>
        <w:gridCol w:w="3320"/>
        <w:gridCol w:w="5236"/>
      </w:tblGrid>
      <w:tr w:rsidR="00000000" w:rsidRPr="000B2D13" w:rsidTr="0071146E">
        <w:trPr>
          <w:tblHeader/>
        </w:trPr>
        <w:tc>
          <w:tcPr>
            <w:tcW w:w="332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SpecialBold"/>
              </w:rPr>
              <w:t>Employability Skills</w:t>
            </w:r>
          </w:p>
        </w:tc>
        <w:tc>
          <w:tcPr>
            <w:tcW w:w="5236"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This unit contains Employability Skills</w:t>
            </w:r>
          </w:p>
        </w:tc>
      </w:tr>
    </w:tbl>
    <w:p w:rsidR="0071146E" w:rsidRDefault="0071146E" w:rsidP="000B2D13">
      <w:pPr>
        <w:pStyle w:val="BodyText"/>
      </w:pPr>
    </w:p>
    <w:p w:rsidR="0071146E" w:rsidRDefault="0071146E" w:rsidP="000B2D13">
      <w:pPr>
        <w:pStyle w:val="BodyText"/>
      </w:pPr>
    </w:p>
    <w:p w:rsidR="00000000" w:rsidRPr="000B2D13" w:rsidRDefault="0071146E" w:rsidP="000B2D13">
      <w:pPr>
        <w:pStyle w:val="Heading1"/>
      </w:pPr>
      <w:bookmarkStart w:id="7" w:name="O_288965"/>
      <w:bookmarkEnd w:id="7"/>
      <w:r w:rsidRPr="000B2D13">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3369"/>
        <w:gridCol w:w="5702"/>
      </w:tblGrid>
      <w:tr w:rsidR="00000000" w:rsidRPr="000B2D13" w:rsidTr="0071146E">
        <w:tc>
          <w:tcPr>
            <w:tcW w:w="3369"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t>Elements define the essential outcomes of a unit of competency.</w:t>
            </w:r>
          </w:p>
        </w:tc>
        <w:tc>
          <w:tcPr>
            <w:tcW w:w="5702"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 xml:space="preserve">The Performance Criteria specify the level of performance required to demonstrate achievement of the Element. Terms in italics are elaborated in the Range Statement. </w:t>
            </w:r>
          </w:p>
        </w:tc>
      </w:tr>
    </w:tbl>
    <w:p w:rsidR="00000000" w:rsidRPr="000B2D13" w:rsidRDefault="0071146E" w:rsidP="000B2D13">
      <w:pPr>
        <w:pStyle w:val="BodyText"/>
      </w:pPr>
    </w:p>
    <w:p w:rsidR="00000000" w:rsidRPr="000B2D13" w:rsidRDefault="0071146E" w:rsidP="000B2D13">
      <w:pPr>
        <w:pStyle w:val="AllowPageBreak"/>
      </w:pPr>
    </w:p>
    <w:p w:rsidR="00000000" w:rsidRPr="000B2D13" w:rsidRDefault="0071146E" w:rsidP="000B2D13">
      <w:pPr>
        <w:pStyle w:val="Heading1"/>
      </w:pPr>
      <w:bookmarkStart w:id="8" w:name="O_235632"/>
      <w:bookmarkEnd w:id="8"/>
      <w:r w:rsidRPr="000B2D13">
        <w:t>Elements and Performance Criteria</w:t>
      </w:r>
    </w:p>
    <w:tbl>
      <w:tblPr>
        <w:tblW w:w="0" w:type="auto"/>
        <w:tblLayout w:type="fixed"/>
        <w:tblCellMar>
          <w:left w:w="62" w:type="dxa"/>
          <w:right w:w="62" w:type="dxa"/>
        </w:tblCellMar>
        <w:tblLook w:val="0000" w:firstRow="0" w:lastRow="0" w:firstColumn="0" w:lastColumn="0" w:noHBand="0" w:noVBand="0"/>
      </w:tblPr>
      <w:tblGrid>
        <w:gridCol w:w="3369"/>
        <w:gridCol w:w="5702"/>
      </w:tblGrid>
      <w:tr w:rsidR="00000000" w:rsidTr="0071146E">
        <w:trPr>
          <w:tblHeader/>
        </w:trPr>
        <w:tc>
          <w:tcPr>
            <w:tcW w:w="3369"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rPr>
                <w:rStyle w:val="SpecialBold"/>
              </w:rPr>
              <w:t>ELEMENT</w:t>
            </w:r>
          </w:p>
        </w:tc>
        <w:tc>
          <w:tcPr>
            <w:tcW w:w="57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SpecialBold"/>
              </w:rPr>
              <w:t>PERFORMANCE CRITERIA</w:t>
            </w:r>
          </w:p>
        </w:tc>
      </w:tr>
      <w:tr w:rsidR="00000000" w:rsidTr="0071146E">
        <w:tc>
          <w:tcPr>
            <w:tcW w:w="3369" w:type="dxa"/>
            <w:tcBorders>
              <w:top w:val="nil"/>
              <w:left w:val="nil"/>
              <w:bottom w:val="nil"/>
              <w:right w:val="nil"/>
            </w:tcBorders>
            <w:tcMar>
              <w:top w:w="0" w:type="dxa"/>
              <w:left w:w="62" w:type="dxa"/>
              <w:bottom w:w="0" w:type="dxa"/>
              <w:right w:w="62" w:type="dxa"/>
            </w:tcMar>
          </w:tcPr>
          <w:p w:rsidR="00000000" w:rsidRDefault="0071146E" w:rsidP="000B2D13">
            <w:pPr>
              <w:pStyle w:val="List"/>
              <w:rPr>
                <w:lang w:val="en-NZ"/>
              </w:rPr>
            </w:pPr>
            <w:r w:rsidRPr="000B2D13">
              <w:t>1.</w:t>
            </w:r>
            <w:r w:rsidRPr="000B2D13">
              <w:tab/>
              <w:t>Undertake research into community health requirements</w:t>
            </w:r>
          </w:p>
        </w:tc>
        <w:tc>
          <w:tcPr>
            <w:tcW w:w="5702"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1.1</w:t>
            </w:r>
            <w:r w:rsidRPr="000B2D13">
              <w:tab/>
              <w:t>Consider and respect community values and beliefs and gender roles and taboos in conducting research in community health needs</w:t>
            </w:r>
          </w:p>
          <w:p w:rsidR="00000000" w:rsidRPr="000B2D13" w:rsidRDefault="0071146E" w:rsidP="000B2D13">
            <w:pPr>
              <w:pStyle w:val="BodyText"/>
            </w:pPr>
            <w:r w:rsidRPr="000B2D13">
              <w:t>1.2</w:t>
            </w:r>
            <w:r w:rsidRPr="000B2D13">
              <w:tab/>
            </w:r>
            <w:r w:rsidRPr="000B2D13">
              <w:t>Consult community representatives to establish their priorities and obtain agreement to gather information</w:t>
            </w:r>
          </w:p>
          <w:p w:rsidR="00000000" w:rsidRPr="000B2D13" w:rsidRDefault="0071146E" w:rsidP="000B2D13">
            <w:pPr>
              <w:pStyle w:val="BodyText"/>
            </w:pPr>
            <w:r w:rsidRPr="000B2D13">
              <w:t>1.3</w:t>
            </w:r>
            <w:r w:rsidRPr="000B2D13">
              <w:tab/>
              <w:t>Consult key people from the community and relevant information sources to obtain information and confirm community health needs</w:t>
            </w:r>
          </w:p>
          <w:p w:rsidR="00000000" w:rsidRPr="000B2D13" w:rsidRDefault="0071146E" w:rsidP="000B2D13">
            <w:pPr>
              <w:pStyle w:val="BodyText"/>
            </w:pPr>
            <w:r w:rsidRPr="000B2D13">
              <w:t>1.4</w:t>
            </w:r>
            <w:r w:rsidRPr="000B2D13">
              <w:tab/>
              <w:t>Analyse infor</w:t>
            </w:r>
            <w:r w:rsidRPr="000B2D13">
              <w:t xml:space="preserve">mation obtained to identify community health requirements, maintaining individual privacy and confidentiality </w:t>
            </w:r>
          </w:p>
          <w:p w:rsidR="00000000" w:rsidRPr="000B2D13" w:rsidRDefault="0071146E" w:rsidP="000B2D13">
            <w:pPr>
              <w:pStyle w:val="BodyText"/>
            </w:pPr>
            <w:r w:rsidRPr="000B2D13">
              <w:t>1.5</w:t>
            </w:r>
            <w:r w:rsidRPr="000B2D13">
              <w:tab/>
              <w:t>Conduct, record and report research in line with ethical standards and showing respect for communities, families and individuals involved</w:t>
            </w:r>
          </w:p>
          <w:p w:rsidR="00000000" w:rsidRDefault="0071146E" w:rsidP="000B2D13">
            <w:pPr>
              <w:pStyle w:val="BodyText"/>
              <w:rPr>
                <w:lang w:val="en-NZ"/>
              </w:rPr>
            </w:pPr>
            <w:r w:rsidRPr="000B2D13">
              <w:t>1.6</w:t>
            </w:r>
            <w:r w:rsidRPr="000B2D13">
              <w:tab/>
              <w:t>Structure health promotion programs to address identified community needs in consultation with community stakeholders</w:t>
            </w:r>
          </w:p>
        </w:tc>
      </w:tr>
      <w:tr w:rsidR="00000000" w:rsidTr="0071146E">
        <w:tc>
          <w:tcPr>
            <w:tcW w:w="3369"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7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369" w:type="dxa"/>
            <w:tcBorders>
              <w:top w:val="nil"/>
              <w:left w:val="nil"/>
              <w:bottom w:val="nil"/>
              <w:right w:val="nil"/>
            </w:tcBorders>
            <w:tcMar>
              <w:top w:w="0" w:type="dxa"/>
              <w:left w:w="62" w:type="dxa"/>
              <w:bottom w:w="0" w:type="dxa"/>
              <w:right w:w="62" w:type="dxa"/>
            </w:tcMar>
          </w:tcPr>
          <w:p w:rsidR="00000000" w:rsidRDefault="0071146E" w:rsidP="000B2D13">
            <w:pPr>
              <w:pStyle w:val="List"/>
              <w:rPr>
                <w:lang w:val="en-NZ"/>
              </w:rPr>
            </w:pPr>
            <w:r w:rsidRPr="000B2D13">
              <w:lastRenderedPageBreak/>
              <w:t>2.</w:t>
            </w:r>
            <w:r w:rsidRPr="000B2D13">
              <w:tab/>
              <w:t>Provide health care program to address common problems</w:t>
            </w:r>
          </w:p>
        </w:tc>
        <w:tc>
          <w:tcPr>
            <w:tcW w:w="5702"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2.1</w:t>
            </w:r>
            <w:r w:rsidRPr="000B2D13">
              <w:tab/>
            </w:r>
            <w:r w:rsidRPr="000B2D13">
              <w:t>Provide information in plain language to clients about health problems common to their particular client group</w:t>
            </w:r>
          </w:p>
          <w:p w:rsidR="00000000" w:rsidRPr="000B2D13" w:rsidRDefault="0071146E" w:rsidP="000B2D13">
            <w:pPr>
              <w:pStyle w:val="BodyText"/>
            </w:pPr>
            <w:r w:rsidRPr="000B2D13">
              <w:t>2.2</w:t>
            </w:r>
            <w:r w:rsidRPr="000B2D13">
              <w:tab/>
              <w:t>Refer common health problems identified as part of the program in line with community, organisation and legislative/regulatory requirements</w:t>
            </w:r>
          </w:p>
          <w:p w:rsidR="00000000" w:rsidRPr="000B2D13" w:rsidRDefault="0071146E" w:rsidP="000B2D13">
            <w:pPr>
              <w:pStyle w:val="BodyText"/>
            </w:pPr>
            <w:r w:rsidRPr="000B2D13">
              <w:t>2</w:t>
            </w:r>
            <w:r w:rsidRPr="000B2D13">
              <w:t>.3</w:t>
            </w:r>
            <w:r w:rsidRPr="000B2D13">
              <w:tab/>
              <w:t>Support clients and families in accessing health care services and associated benefits as required</w:t>
            </w:r>
          </w:p>
          <w:p w:rsidR="00000000" w:rsidRPr="000B2D13" w:rsidRDefault="0071146E" w:rsidP="000B2D13">
            <w:pPr>
              <w:pStyle w:val="BodyText"/>
            </w:pPr>
            <w:r w:rsidRPr="000B2D13">
              <w:t>2.4</w:t>
            </w:r>
            <w:r w:rsidRPr="000B2D13">
              <w:tab/>
              <w:t>Provide guidance, support and assistance to individuals and families coping with social and emotional issues according to identified needs and cultura</w:t>
            </w:r>
            <w:r w:rsidRPr="000B2D13">
              <w:t>l protocols</w:t>
            </w:r>
          </w:p>
          <w:p w:rsidR="00000000" w:rsidRPr="000B2D13" w:rsidRDefault="0071146E" w:rsidP="000B2D13">
            <w:pPr>
              <w:pStyle w:val="BodyText"/>
            </w:pPr>
            <w:r w:rsidRPr="000B2D13">
              <w:t>2.5</w:t>
            </w:r>
            <w:r w:rsidRPr="000B2D13">
              <w:tab/>
              <w:t>Provide clients with information relevant to promoting and maintaining health in a way they understand readily</w:t>
            </w:r>
          </w:p>
          <w:p w:rsidR="00000000" w:rsidRPr="000B2D13" w:rsidRDefault="0071146E" w:rsidP="000B2D13">
            <w:pPr>
              <w:pStyle w:val="BodyText"/>
            </w:pPr>
            <w:r w:rsidRPr="000B2D13">
              <w:t>2.6</w:t>
            </w:r>
            <w:r w:rsidRPr="000B2D13">
              <w:tab/>
              <w:t>Check client understanding of information through appropriate questioning</w:t>
            </w:r>
          </w:p>
          <w:p w:rsidR="00000000" w:rsidRDefault="0071146E" w:rsidP="000B2D13">
            <w:pPr>
              <w:pStyle w:val="BodyText"/>
              <w:rPr>
                <w:lang w:val="en-NZ"/>
              </w:rPr>
            </w:pPr>
            <w:r w:rsidRPr="000B2D13">
              <w:t>2.7</w:t>
            </w:r>
            <w:r w:rsidRPr="000B2D13">
              <w:tab/>
              <w:t xml:space="preserve">Ensure health care programs support clients to </w:t>
            </w:r>
            <w:r w:rsidRPr="000B2D13">
              <w:t>take a self-care approach to health in line with individual needs and organisation and community requirements</w:t>
            </w:r>
          </w:p>
        </w:tc>
      </w:tr>
      <w:tr w:rsidR="00000000" w:rsidTr="0071146E">
        <w:tc>
          <w:tcPr>
            <w:tcW w:w="3369"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7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369" w:type="dxa"/>
            <w:tcBorders>
              <w:top w:val="nil"/>
              <w:left w:val="nil"/>
              <w:bottom w:val="nil"/>
              <w:right w:val="nil"/>
            </w:tcBorders>
            <w:tcMar>
              <w:top w:w="0" w:type="dxa"/>
              <w:left w:w="62" w:type="dxa"/>
              <w:bottom w:w="0" w:type="dxa"/>
              <w:right w:w="62" w:type="dxa"/>
            </w:tcMar>
          </w:tcPr>
          <w:p w:rsidR="00000000" w:rsidRDefault="0071146E" w:rsidP="000B2D13">
            <w:pPr>
              <w:pStyle w:val="List"/>
              <w:rPr>
                <w:lang w:val="en-NZ"/>
              </w:rPr>
            </w:pPr>
            <w:r w:rsidRPr="000B2D13">
              <w:t>3.</w:t>
            </w:r>
            <w:r w:rsidRPr="000B2D13">
              <w:tab/>
              <w:t>Organise the delivery of health promotion programs</w:t>
            </w:r>
          </w:p>
        </w:tc>
        <w:tc>
          <w:tcPr>
            <w:tcW w:w="5702"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3.1</w:t>
            </w:r>
            <w:r w:rsidRPr="000B2D13">
              <w:tab/>
              <w:t>Provide health care programs to the community in ways that are consistent with Abori</w:t>
            </w:r>
            <w:r w:rsidRPr="000B2D13">
              <w:t>ginal and/or Torres Strait Islander community values and beliefs</w:t>
            </w:r>
          </w:p>
          <w:p w:rsidR="00000000" w:rsidRPr="000B2D13" w:rsidRDefault="0071146E" w:rsidP="000B2D13">
            <w:pPr>
              <w:pStyle w:val="BodyText"/>
            </w:pPr>
            <w:r w:rsidRPr="000B2D13">
              <w:t>3.2</w:t>
            </w:r>
            <w:r w:rsidRPr="000B2D13">
              <w:tab/>
              <w:t>Integrate promotion of health screening, surveillance and education activities into the programs, as appropriate</w:t>
            </w:r>
          </w:p>
          <w:p w:rsidR="00000000" w:rsidRPr="000B2D13" w:rsidRDefault="0071146E" w:rsidP="000B2D13">
            <w:pPr>
              <w:pStyle w:val="BodyText"/>
            </w:pPr>
            <w:r w:rsidRPr="000B2D13">
              <w:t>3.3</w:t>
            </w:r>
            <w:r w:rsidRPr="000B2D13">
              <w:tab/>
              <w:t>Where appropriate, organise follow up care for clients with identified</w:t>
            </w:r>
            <w:r w:rsidRPr="000B2D13">
              <w:t xml:space="preserve"> health problems using computer and/or paper based registers</w:t>
            </w:r>
          </w:p>
          <w:p w:rsidR="00000000" w:rsidRPr="000B2D13" w:rsidRDefault="0071146E" w:rsidP="000B2D13">
            <w:pPr>
              <w:pStyle w:val="BodyText"/>
            </w:pPr>
            <w:r w:rsidRPr="000B2D13">
              <w:t>3.4</w:t>
            </w:r>
            <w:r w:rsidRPr="000B2D13">
              <w:tab/>
              <w:t xml:space="preserve">Where appropriate, produce lists of clients with significantly over-due health care checks and employ active recall strategies </w:t>
            </w:r>
          </w:p>
          <w:p w:rsidR="00000000" w:rsidRPr="000B2D13" w:rsidRDefault="0071146E" w:rsidP="000B2D13">
            <w:pPr>
              <w:pStyle w:val="BodyText"/>
            </w:pPr>
            <w:r w:rsidRPr="000B2D13">
              <w:t>3.5</w:t>
            </w:r>
            <w:r w:rsidRPr="000B2D13">
              <w:tab/>
              <w:t xml:space="preserve">Identify </w:t>
            </w:r>
            <w:r w:rsidRPr="000B2D13">
              <w:rPr>
                <w:rStyle w:val="Emphasis"/>
              </w:rPr>
              <w:t>social and environmental</w:t>
            </w:r>
            <w:r w:rsidRPr="000B2D13">
              <w:t xml:space="preserve"> interventions that may improve health and implement in partnership with the community and other agencies</w:t>
            </w:r>
          </w:p>
          <w:p w:rsidR="00000000" w:rsidRDefault="0071146E" w:rsidP="000B2D13">
            <w:pPr>
              <w:pStyle w:val="BodyText"/>
              <w:rPr>
                <w:lang w:val="en-NZ"/>
              </w:rPr>
            </w:pPr>
            <w:r w:rsidRPr="000B2D13">
              <w:t>3.6</w:t>
            </w:r>
            <w:r w:rsidRPr="000B2D13">
              <w:tab/>
              <w:t>Establish and maintain links with support agencies, resource networks and associated health services in the local and regional area</w:t>
            </w:r>
          </w:p>
        </w:tc>
      </w:tr>
      <w:tr w:rsidR="00000000" w:rsidTr="0071146E">
        <w:tc>
          <w:tcPr>
            <w:tcW w:w="3369"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7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369" w:type="dxa"/>
            <w:tcBorders>
              <w:top w:val="nil"/>
              <w:left w:val="nil"/>
              <w:bottom w:val="nil"/>
              <w:right w:val="nil"/>
            </w:tcBorders>
            <w:tcMar>
              <w:top w:w="0" w:type="dxa"/>
              <w:left w:w="62" w:type="dxa"/>
              <w:bottom w:w="0" w:type="dxa"/>
              <w:right w:w="62" w:type="dxa"/>
            </w:tcMar>
          </w:tcPr>
          <w:p w:rsidR="00000000" w:rsidRDefault="0071146E" w:rsidP="000B2D13">
            <w:pPr>
              <w:pStyle w:val="List"/>
              <w:rPr>
                <w:lang w:val="en-NZ"/>
              </w:rPr>
            </w:pPr>
            <w:r w:rsidRPr="000B2D13">
              <w:t>4.</w:t>
            </w:r>
            <w:r w:rsidRPr="000B2D13">
              <w:tab/>
              <w:t>Partici</w:t>
            </w:r>
            <w:r w:rsidRPr="000B2D13">
              <w:t>pate in the evaluation of health promotion programs</w:t>
            </w:r>
          </w:p>
        </w:tc>
        <w:tc>
          <w:tcPr>
            <w:tcW w:w="5702"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4.1</w:t>
            </w:r>
            <w:r w:rsidRPr="000B2D13">
              <w:tab/>
              <w:t>Collect and document data to contribute to the evaluation of health programs</w:t>
            </w:r>
          </w:p>
          <w:p w:rsidR="00000000" w:rsidRPr="000B2D13" w:rsidRDefault="0071146E" w:rsidP="000B2D13">
            <w:pPr>
              <w:pStyle w:val="BodyText"/>
            </w:pPr>
            <w:r w:rsidRPr="000B2D13">
              <w:t>4.2</w:t>
            </w:r>
            <w:r w:rsidRPr="000B2D13">
              <w:tab/>
              <w:t>Interpret data according to program and organisation requirements</w:t>
            </w:r>
          </w:p>
          <w:p w:rsidR="00000000" w:rsidRPr="000B2D13" w:rsidRDefault="0071146E" w:rsidP="000B2D13">
            <w:pPr>
              <w:pStyle w:val="BodyText"/>
            </w:pPr>
            <w:r w:rsidRPr="000B2D13">
              <w:t>4.3</w:t>
            </w:r>
            <w:r w:rsidRPr="000B2D13">
              <w:tab/>
              <w:t xml:space="preserve">Prepare reports from data collected and provided </w:t>
            </w:r>
            <w:r w:rsidRPr="000B2D13">
              <w:t>to management in line with organisation guidelines</w:t>
            </w:r>
          </w:p>
          <w:p w:rsidR="00000000" w:rsidRDefault="0071146E" w:rsidP="000B2D13">
            <w:pPr>
              <w:pStyle w:val="BodyText"/>
              <w:rPr>
                <w:lang w:val="en-NZ"/>
              </w:rPr>
            </w:pPr>
            <w:r w:rsidRPr="000B2D13">
              <w:t>4.4</w:t>
            </w:r>
            <w:r w:rsidRPr="000B2D13">
              <w:tab/>
              <w:t>Maintain client and community confidentiality in line with organisation and community requirements</w:t>
            </w:r>
          </w:p>
        </w:tc>
      </w:tr>
      <w:tr w:rsidR="00000000" w:rsidRPr="000B2D13" w:rsidTr="0071146E">
        <w:tc>
          <w:tcPr>
            <w:tcW w:w="3369"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702"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p>
        </w:tc>
      </w:tr>
    </w:tbl>
    <w:p w:rsidR="0071146E" w:rsidRDefault="0071146E" w:rsidP="000B2D13">
      <w:pPr>
        <w:pStyle w:val="BodyText"/>
      </w:pPr>
    </w:p>
    <w:p w:rsidR="0071146E" w:rsidRDefault="0071146E" w:rsidP="000B2D13">
      <w:pPr>
        <w:pStyle w:val="BodyText"/>
      </w:pPr>
    </w:p>
    <w:p w:rsidR="00000000" w:rsidRPr="000B2D13" w:rsidRDefault="0071146E" w:rsidP="000B2D13">
      <w:pPr>
        <w:pStyle w:val="Heading1"/>
      </w:pPr>
      <w:bookmarkStart w:id="9" w:name="O_259582"/>
      <w:bookmarkEnd w:id="9"/>
      <w:r w:rsidRPr="000B2D13">
        <w:t>Required Skills and Knowledge</w:t>
      </w:r>
    </w:p>
    <w:tbl>
      <w:tblPr>
        <w:tblW w:w="0" w:type="auto"/>
        <w:tblLayout w:type="fixed"/>
        <w:tblCellMar>
          <w:left w:w="62" w:type="dxa"/>
          <w:right w:w="62" w:type="dxa"/>
        </w:tblCellMar>
        <w:tblLook w:val="0000" w:firstRow="0" w:lastRow="0" w:firstColumn="0" w:lastColumn="0" w:noHBand="0" w:noVBand="0"/>
      </w:tblPr>
      <w:tblGrid>
        <w:gridCol w:w="9072"/>
      </w:tblGrid>
      <w:tr w:rsidR="00000000" w:rsidTr="0071146E">
        <w:trPr>
          <w:tblHeader/>
        </w:trPr>
        <w:tc>
          <w:tcPr>
            <w:tcW w:w="907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SpecialBold"/>
              </w:rPr>
              <w:t>REQUIRED SKILLS AND KNOWLEDGE</w:t>
            </w:r>
          </w:p>
        </w:tc>
      </w:tr>
      <w:tr w:rsidR="00000000" w:rsidTr="0071146E">
        <w:tc>
          <w:tcPr>
            <w:tcW w:w="907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907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t>This describes the essential skills and knowledge and their level required for this unit.</w:t>
            </w:r>
          </w:p>
        </w:tc>
      </w:tr>
      <w:tr w:rsidR="00000000" w:rsidRPr="000B2D13" w:rsidTr="0071146E">
        <w:tc>
          <w:tcPr>
            <w:tcW w:w="907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9072"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rPr>
                <w:rStyle w:val="Emphasis"/>
              </w:rPr>
              <w:t>Essential knowledge</w:t>
            </w:r>
            <w:r w:rsidRPr="000B2D13">
              <w:t>:</w:t>
            </w:r>
          </w:p>
          <w:p w:rsidR="00000000" w:rsidRPr="000B2D13" w:rsidRDefault="0071146E" w:rsidP="000B2D13">
            <w:pPr>
              <w:pStyle w:val="BodyText"/>
            </w:pPr>
            <w:r w:rsidRPr="000B2D13">
              <w:t>The candidate must be able to demonstrate essential knowledge required to effectively do the task outlined in elements and performance criteri</w:t>
            </w:r>
            <w:r w:rsidRPr="000B2D13">
              <w:t>a of this unit, manage the task and manage contingencies in the context of the identified work role</w:t>
            </w:r>
          </w:p>
          <w:p w:rsidR="00000000" w:rsidRPr="000B2D13" w:rsidRDefault="0071146E" w:rsidP="000B2D13">
            <w:pPr>
              <w:pStyle w:val="BodyText"/>
            </w:pPr>
            <w:r w:rsidRPr="000B2D13">
              <w:t>This includes knowledge of:</w:t>
            </w:r>
          </w:p>
          <w:p w:rsidR="00000000" w:rsidRPr="000B2D13" w:rsidRDefault="0071146E" w:rsidP="000B2D13">
            <w:pPr>
              <w:pStyle w:val="ListBullet"/>
            </w:pPr>
            <w:r w:rsidRPr="000B2D13">
              <w:t>Basic understanding of community development theory</w:t>
            </w:r>
          </w:p>
          <w:p w:rsidR="00000000" w:rsidRPr="000B2D13" w:rsidRDefault="0071146E" w:rsidP="000B2D13">
            <w:pPr>
              <w:pStyle w:val="ListBullet"/>
            </w:pPr>
            <w:r w:rsidRPr="000B2D13">
              <w:t>Developmental milestones, significant health problems and immunisation polic</w:t>
            </w:r>
            <w:r w:rsidRPr="000B2D13">
              <w:t>ies/procedures pertaining to children in the local area / region</w:t>
            </w:r>
          </w:p>
          <w:p w:rsidR="00000000" w:rsidRPr="000B2D13" w:rsidRDefault="0071146E" w:rsidP="000B2D13">
            <w:pPr>
              <w:pStyle w:val="ListBullet"/>
            </w:pPr>
            <w:r w:rsidRPr="000B2D13">
              <w:t>Effective strategies to monitor and manage identified health problems in line with community needs and sensitivities</w:t>
            </w:r>
          </w:p>
          <w:p w:rsidR="00000000" w:rsidRPr="000B2D13" w:rsidRDefault="0071146E" w:rsidP="000B2D13">
            <w:pPr>
              <w:pStyle w:val="ListBullet"/>
            </w:pPr>
            <w:r w:rsidRPr="000B2D13">
              <w:t>Familiarity with a range of conditions, diseases and disorders, including:</w:t>
            </w:r>
          </w:p>
          <w:p w:rsidR="00000000" w:rsidRPr="000B2D13" w:rsidRDefault="0071146E" w:rsidP="000B2D13">
            <w:pPr>
              <w:pStyle w:val="ListBullet2"/>
            </w:pPr>
            <w:r w:rsidRPr="000B2D13">
              <w:t>child and youth health issues</w:t>
            </w:r>
          </w:p>
          <w:p w:rsidR="00000000" w:rsidRPr="000B2D13" w:rsidRDefault="0071146E" w:rsidP="000B2D13">
            <w:pPr>
              <w:pStyle w:val="ListBullet2"/>
            </w:pPr>
            <w:r w:rsidRPr="000B2D13">
              <w:t>sexual and reproductive health problems for males and females</w:t>
            </w:r>
          </w:p>
          <w:p w:rsidR="00000000" w:rsidRPr="000B2D13" w:rsidRDefault="0071146E" w:rsidP="000B2D13">
            <w:pPr>
              <w:pStyle w:val="ListBullet2"/>
            </w:pPr>
            <w:r w:rsidRPr="000B2D13">
              <w:t>sexually transmissible infections</w:t>
            </w:r>
          </w:p>
          <w:p w:rsidR="00000000" w:rsidRPr="000B2D13" w:rsidRDefault="0071146E" w:rsidP="000B2D13">
            <w:pPr>
              <w:pStyle w:val="ListBullet2"/>
            </w:pPr>
            <w:r w:rsidRPr="000B2D13">
              <w:t>substance misuse</w:t>
            </w:r>
          </w:p>
          <w:p w:rsidR="00000000" w:rsidRPr="000B2D13" w:rsidRDefault="0071146E" w:rsidP="000B2D13">
            <w:pPr>
              <w:pStyle w:val="ListBullet2"/>
            </w:pPr>
            <w:r w:rsidRPr="000B2D13">
              <w:t>rape, family violence and sexual abuse</w:t>
            </w:r>
          </w:p>
          <w:p w:rsidR="00000000" w:rsidRPr="000B2D13" w:rsidRDefault="0071146E" w:rsidP="000B2D13">
            <w:pPr>
              <w:pStyle w:val="ListBullet"/>
            </w:pPr>
            <w:r w:rsidRPr="000B2D13">
              <w:t>How to contact and access available health and support services in the r</w:t>
            </w:r>
            <w:r w:rsidRPr="000B2D13">
              <w:t>egion</w:t>
            </w:r>
          </w:p>
          <w:p w:rsidR="00000000" w:rsidRPr="000B2D13" w:rsidRDefault="0071146E" w:rsidP="000B2D13">
            <w:pPr>
              <w:pStyle w:val="ListBullet"/>
            </w:pPr>
            <w:r w:rsidRPr="000B2D13">
              <w:t>Linkages between conditions such as diabetes and eye health, nutrition and hearing, etc</w:t>
            </w:r>
          </w:p>
          <w:p w:rsidR="00000000" w:rsidRPr="000B2D13" w:rsidRDefault="0071146E" w:rsidP="000B2D13">
            <w:pPr>
              <w:pStyle w:val="ListBullet"/>
            </w:pPr>
            <w:r w:rsidRPr="000B2D13">
              <w:t>Methods of evaluating health programs and providing feedback to health service management and the community in line with organisation and community requirements</w:t>
            </w:r>
          </w:p>
          <w:p w:rsidR="00000000" w:rsidRPr="000B2D13" w:rsidRDefault="0071146E" w:rsidP="000B2D13">
            <w:pPr>
              <w:pStyle w:val="ListBullet"/>
            </w:pPr>
            <w:r w:rsidRPr="000B2D13">
              <w:t>O</w:t>
            </w:r>
            <w:r w:rsidRPr="000B2D13">
              <w:t xml:space="preserve">ccupational health and safety practices and procedures relevant to the work </w:t>
            </w:r>
          </w:p>
          <w:p w:rsidR="00000000" w:rsidRPr="000B2D13" w:rsidRDefault="0071146E" w:rsidP="000B2D13">
            <w:pPr>
              <w:pStyle w:val="ListBullet"/>
            </w:pPr>
            <w:r w:rsidRPr="000B2D13">
              <w:t>Physiological and related changes associated with aging, how they manifest physically and likely impact on clients</w:t>
            </w:r>
          </w:p>
          <w:p w:rsidR="00000000" w:rsidRPr="000B2D13" w:rsidRDefault="0071146E" w:rsidP="000B2D13">
            <w:pPr>
              <w:pStyle w:val="ListBullet"/>
            </w:pPr>
            <w:r w:rsidRPr="000B2D13">
              <w:t>Principles of adult education</w:t>
            </w:r>
          </w:p>
          <w:p w:rsidR="00000000" w:rsidRPr="000B2D13" w:rsidRDefault="0071146E" w:rsidP="000B2D13">
            <w:pPr>
              <w:pStyle w:val="ListBullet"/>
            </w:pPr>
            <w:r w:rsidRPr="000B2D13">
              <w:t>Principles of health promotion</w:t>
            </w:r>
          </w:p>
          <w:p w:rsidR="00000000" w:rsidRPr="000B2D13" w:rsidRDefault="0071146E" w:rsidP="000B2D13">
            <w:pPr>
              <w:pStyle w:val="ListBullet"/>
            </w:pPr>
            <w:r w:rsidRPr="000B2D13">
              <w:t>Soc</w:t>
            </w:r>
            <w:r w:rsidRPr="000B2D13">
              <w:t>ial determinants that impact on health issues for the relevant community</w:t>
            </w:r>
          </w:p>
          <w:p w:rsidR="00000000" w:rsidRPr="000B2D13" w:rsidRDefault="0071146E" w:rsidP="000B2D13">
            <w:pPr>
              <w:pStyle w:val="ListBullet"/>
            </w:pPr>
            <w:r w:rsidRPr="000B2D13">
              <w:t>Use of a range of approaches to health management relevant to the community</w:t>
            </w:r>
          </w:p>
          <w:p w:rsidR="00000000" w:rsidRDefault="0071146E" w:rsidP="000B2D13">
            <w:pPr>
              <w:pStyle w:val="ListBullet"/>
              <w:rPr>
                <w:lang w:val="en-NZ"/>
              </w:rPr>
            </w:pPr>
            <w:r w:rsidRPr="000B2D13">
              <w:t>WHO declaration re health promotion (Ottawa Charter)</w:t>
            </w:r>
          </w:p>
        </w:tc>
      </w:tr>
      <w:tr w:rsidR="00000000" w:rsidRPr="000B2D13" w:rsidTr="0071146E">
        <w:tc>
          <w:tcPr>
            <w:tcW w:w="907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RPr="000B2D13" w:rsidTr="0071146E">
        <w:tc>
          <w:tcPr>
            <w:tcW w:w="9072"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rPr>
                <w:rStyle w:val="Emphasis"/>
              </w:rPr>
              <w:lastRenderedPageBreak/>
              <w:t>Essential skills</w:t>
            </w:r>
            <w:r w:rsidRPr="000B2D13">
              <w:t>:</w:t>
            </w:r>
          </w:p>
          <w:p w:rsidR="00000000" w:rsidRPr="000B2D13" w:rsidRDefault="0071146E" w:rsidP="000B2D13">
            <w:pPr>
              <w:pStyle w:val="BodyText"/>
            </w:pPr>
            <w:r w:rsidRPr="000B2D13">
              <w:t>It is critical that the candidate demonstrate the ability to:</w:t>
            </w:r>
          </w:p>
          <w:p w:rsidR="00000000" w:rsidRPr="000B2D13" w:rsidRDefault="0071146E" w:rsidP="000B2D13">
            <w:pPr>
              <w:pStyle w:val="ListBullet"/>
            </w:pPr>
            <w:r w:rsidRPr="000B2D13">
              <w:t>Deliver primary health care programs to Aboriginal and/or Torres Strait Islander communities, including:</w:t>
            </w:r>
          </w:p>
          <w:p w:rsidR="00000000" w:rsidRPr="000B2D13" w:rsidRDefault="0071146E" w:rsidP="000B2D13">
            <w:pPr>
              <w:pStyle w:val="ListBullet2"/>
            </w:pPr>
            <w:r w:rsidRPr="000B2D13">
              <w:t>ensuring the program addresses specific client and community needs for guidance, support</w:t>
            </w:r>
            <w:r w:rsidRPr="000B2D13">
              <w:t xml:space="preserve"> and information</w:t>
            </w:r>
          </w:p>
          <w:p w:rsidR="00000000" w:rsidRPr="000B2D13" w:rsidRDefault="0071146E" w:rsidP="000B2D13">
            <w:pPr>
              <w:pStyle w:val="ListBullet2"/>
            </w:pPr>
            <w:r w:rsidRPr="000B2D13">
              <w:t>ensuring delivery is consistent with community needs, values and beliefs</w:t>
            </w:r>
          </w:p>
          <w:p w:rsidR="00000000" w:rsidRPr="000B2D13" w:rsidRDefault="0071146E" w:rsidP="000B2D13">
            <w:pPr>
              <w:pStyle w:val="ListBullet2"/>
            </w:pPr>
            <w:r w:rsidRPr="000B2D13">
              <w:t>contributing to evaluation of the program</w:t>
            </w:r>
          </w:p>
          <w:p w:rsidR="00000000" w:rsidRPr="000B2D13" w:rsidRDefault="0071146E" w:rsidP="000B2D13">
            <w:pPr>
              <w:pStyle w:val="BodyText"/>
            </w:pPr>
          </w:p>
          <w:p w:rsidR="00000000" w:rsidRPr="000B2D13" w:rsidRDefault="0071146E" w:rsidP="000B2D13">
            <w:pPr>
              <w:pStyle w:val="BodyText"/>
            </w:pPr>
            <w:r w:rsidRPr="000B2D13">
              <w:t>In addition, the candidate must be able to effectively do the task outlined in elements and performance criteria of this un</w:t>
            </w:r>
            <w:r w:rsidRPr="000B2D13">
              <w:t>it, manage the task and manage contingencies in the context of the identified work role</w:t>
            </w:r>
          </w:p>
          <w:p w:rsidR="00000000" w:rsidRPr="000B2D13" w:rsidRDefault="0071146E" w:rsidP="000B2D13">
            <w:pPr>
              <w:pStyle w:val="BodyText"/>
            </w:pPr>
            <w:r w:rsidRPr="000B2D13">
              <w:t>This includes the ability to:</w:t>
            </w:r>
          </w:p>
          <w:p w:rsidR="00000000" w:rsidRPr="000B2D13" w:rsidRDefault="0071146E" w:rsidP="000B2D13">
            <w:pPr>
              <w:pStyle w:val="ListBullet"/>
            </w:pPr>
            <w:r w:rsidRPr="000B2D13">
              <w:t xml:space="preserve">Apply literacy and numeracy skills to read and write reports, interpret simple statistics, charts and test results, write </w:t>
            </w:r>
            <w:r w:rsidRPr="000B2D13">
              <w:t>letters and maintain client records</w:t>
            </w:r>
          </w:p>
          <w:p w:rsidR="00000000" w:rsidRPr="000B2D13" w:rsidRDefault="0071146E" w:rsidP="000B2D13">
            <w:pPr>
              <w:pStyle w:val="ListBullet"/>
            </w:pPr>
            <w:r w:rsidRPr="000B2D13">
              <w:t>Communicate with clients, colleagues, community members and other agencies and to negotiate with them as required</w:t>
            </w:r>
          </w:p>
          <w:p w:rsidR="00000000" w:rsidRPr="000B2D13" w:rsidRDefault="0071146E" w:rsidP="000B2D13">
            <w:pPr>
              <w:pStyle w:val="ListBullet"/>
            </w:pPr>
            <w:r w:rsidRPr="000B2D13">
              <w:t>Communicate effectively about the importance of issues relating to environmental responsibility and sustai</w:t>
            </w:r>
            <w:r w:rsidRPr="000B2D13">
              <w:t xml:space="preserve">nable practice </w:t>
            </w:r>
          </w:p>
          <w:p w:rsidR="00000000" w:rsidRPr="000B2D13" w:rsidRDefault="0071146E" w:rsidP="000B2D13">
            <w:pPr>
              <w:pStyle w:val="ListBullet"/>
            </w:pPr>
            <w:r w:rsidRPr="000B2D13">
              <w:t>Deliver health promotion programs to a range of workers and community groups</w:t>
            </w:r>
          </w:p>
          <w:p w:rsidR="00000000" w:rsidRPr="000B2D13" w:rsidRDefault="0071146E" w:rsidP="000B2D13">
            <w:pPr>
              <w:pStyle w:val="ListBullet"/>
            </w:pPr>
            <w:r w:rsidRPr="000B2D13">
              <w:t>Explain and describe procedures and illnesses/disorders to clients using clear, simple language</w:t>
            </w:r>
          </w:p>
          <w:p w:rsidR="00000000" w:rsidRPr="000B2D13" w:rsidRDefault="0071146E" w:rsidP="000B2D13">
            <w:pPr>
              <w:pStyle w:val="ListBullet"/>
            </w:pPr>
            <w:r w:rsidRPr="000B2D13">
              <w:t>Observe, obtain and interpret client information in relation to com</w:t>
            </w:r>
            <w:r w:rsidRPr="000B2D13">
              <w:t>munity health issues, behaviour and health services</w:t>
            </w:r>
          </w:p>
          <w:p w:rsidR="00000000" w:rsidRPr="000B2D13" w:rsidRDefault="0071146E" w:rsidP="000B2D13">
            <w:pPr>
              <w:pStyle w:val="ListBullet"/>
            </w:pPr>
            <w:r w:rsidRPr="000B2D13">
              <w:t>Use computer-based and/or paper-based client record systems</w:t>
            </w:r>
          </w:p>
          <w:p w:rsidR="00000000" w:rsidRPr="000B2D13" w:rsidRDefault="0071146E" w:rsidP="000B2D13">
            <w:pPr>
              <w:pStyle w:val="ListBullet"/>
            </w:pPr>
            <w:r w:rsidRPr="000B2D13">
              <w:t>Work with groups in the community to seek input and feedback on health services</w:t>
            </w:r>
          </w:p>
        </w:tc>
      </w:tr>
    </w:tbl>
    <w:p w:rsidR="0071146E" w:rsidRDefault="0071146E" w:rsidP="000B2D13">
      <w:pPr>
        <w:pStyle w:val="BodyText"/>
      </w:pPr>
    </w:p>
    <w:p w:rsidR="0071146E" w:rsidRDefault="0071146E" w:rsidP="000B2D13">
      <w:pPr>
        <w:pStyle w:val="BodyText"/>
      </w:pPr>
    </w:p>
    <w:p w:rsidR="00000000" w:rsidRPr="000B2D13" w:rsidRDefault="0071146E" w:rsidP="000B2D13">
      <w:pPr>
        <w:pStyle w:val="Heading1"/>
      </w:pPr>
      <w:bookmarkStart w:id="10" w:name="O_243616"/>
      <w:bookmarkEnd w:id="10"/>
      <w:r w:rsidRPr="000B2D13">
        <w:t>Evidence Guide</w:t>
      </w:r>
    </w:p>
    <w:tbl>
      <w:tblPr>
        <w:tblW w:w="0" w:type="auto"/>
        <w:tblLayout w:type="fixed"/>
        <w:tblCellMar>
          <w:left w:w="62" w:type="dxa"/>
          <w:right w:w="62" w:type="dxa"/>
        </w:tblCellMar>
        <w:tblLook w:val="0000" w:firstRow="0" w:lastRow="0" w:firstColumn="0" w:lastColumn="0" w:noHBand="0" w:noVBand="0"/>
      </w:tblPr>
      <w:tblGrid>
        <w:gridCol w:w="3402"/>
        <w:gridCol w:w="5670"/>
      </w:tblGrid>
      <w:tr w:rsidR="000B2D13" w:rsidTr="0071146E">
        <w:trPr>
          <w:tblHeader/>
        </w:trPr>
        <w:tc>
          <w:tcPr>
            <w:tcW w:w="9072" w:type="dxa"/>
            <w:gridSpan w:val="2"/>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SpecialBold"/>
              </w:rPr>
              <w:t>EVIDENCE GUIDE</w:t>
            </w:r>
          </w:p>
        </w:tc>
      </w:tr>
      <w:tr w:rsidR="000B2D13" w:rsidTr="0071146E">
        <w:tc>
          <w:tcPr>
            <w:tcW w:w="9072" w:type="dxa"/>
            <w:gridSpan w:val="2"/>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B2D13" w:rsidTr="0071146E">
        <w:tc>
          <w:tcPr>
            <w:tcW w:w="9072" w:type="dxa"/>
            <w:gridSpan w:val="2"/>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t>The evidence guide provides advice on assessment and must be read in conjunction with the Performance Criteria, Required Skills and Knowledge, the Range Statement and the Assessment Guidelines for this Training Package.</w:t>
            </w:r>
          </w:p>
        </w:tc>
      </w:tr>
      <w:tr w:rsidR="000B2D13" w:rsidRPr="000B2D13" w:rsidTr="0071146E">
        <w:tc>
          <w:tcPr>
            <w:tcW w:w="9072" w:type="dxa"/>
            <w:gridSpan w:val="2"/>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4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Emphasis"/>
              </w:rPr>
              <w:t>Critical aspects of assessment</w:t>
            </w:r>
            <w:r w:rsidRPr="000B2D13">
              <w:t>:</w:t>
            </w:r>
          </w:p>
        </w:tc>
        <w:tc>
          <w:tcPr>
            <w:tcW w:w="5670" w:type="dxa"/>
            <w:tcBorders>
              <w:top w:val="nil"/>
              <w:left w:val="nil"/>
              <w:bottom w:val="nil"/>
              <w:right w:val="nil"/>
            </w:tcBorders>
            <w:tcMar>
              <w:top w:w="0" w:type="dxa"/>
              <w:left w:w="62" w:type="dxa"/>
              <w:bottom w:w="0" w:type="dxa"/>
              <w:right w:w="62" w:type="dxa"/>
            </w:tcMar>
          </w:tcPr>
          <w:p w:rsidR="00000000" w:rsidRPr="000B2D13" w:rsidRDefault="0071146E" w:rsidP="000B2D13">
            <w:pPr>
              <w:pStyle w:val="ListBullet"/>
            </w:pPr>
            <w:r w:rsidRPr="000B2D13">
              <w:t>The individual being assessed must provide evidence of specified essential knowledge as well as skills</w:t>
            </w:r>
          </w:p>
          <w:p w:rsidR="00000000" w:rsidRPr="000B2D13" w:rsidRDefault="0071146E" w:rsidP="000B2D13">
            <w:pPr>
              <w:pStyle w:val="ListBullet"/>
            </w:pPr>
            <w:r w:rsidRPr="000B2D13">
              <w:t>Consistency of performance should be demonstrated over the required range of situations relevant to the workplace</w:t>
            </w:r>
          </w:p>
          <w:p w:rsidR="00000000" w:rsidRDefault="0071146E" w:rsidP="000B2D13">
            <w:pPr>
              <w:pStyle w:val="ListBullet"/>
              <w:rPr>
                <w:lang w:val="en-NZ"/>
              </w:rPr>
            </w:pPr>
            <w:r w:rsidRPr="000B2D13">
              <w:t>Where, for reasons of safety, space, o</w:t>
            </w:r>
            <w:r w:rsidRPr="000B2D13">
              <w:t>r access to equipment and resources, assessment takes place away from the workplace, the assessment environment should represent workplace conditions as closely as possible</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4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Emphasis"/>
              </w:rPr>
              <w:t>Conditions of assessment</w:t>
            </w:r>
            <w:r w:rsidRPr="000B2D13">
              <w:t>:</w:t>
            </w:r>
          </w:p>
        </w:tc>
        <w:tc>
          <w:tcPr>
            <w:tcW w:w="5670"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This unit includes skills and knowledge specific to Aboriginal and/or Torres Strait Islander culture</w:t>
            </w:r>
          </w:p>
          <w:p w:rsidR="00000000" w:rsidRPr="000B2D13" w:rsidRDefault="0071146E" w:rsidP="000B2D13">
            <w:pPr>
              <w:pStyle w:val="BodyText"/>
            </w:pPr>
            <w:r w:rsidRPr="000B2D13">
              <w:t>Assessment must therefore be undertaken by a workplace assessor who has expertise in the unit of competency or who has the current qualification being asse</w:t>
            </w:r>
            <w:r w:rsidRPr="000B2D13">
              <w:t>ssed and who is:</w:t>
            </w:r>
          </w:p>
          <w:p w:rsidR="00000000" w:rsidRPr="000B2D13" w:rsidRDefault="0071146E" w:rsidP="000B2D13">
            <w:pPr>
              <w:pStyle w:val="ListBullet2"/>
            </w:pPr>
            <w:r w:rsidRPr="000B2D13">
              <w:t>Aboriginal or Torres Strait Islander him/herself</w:t>
            </w:r>
          </w:p>
          <w:p w:rsidR="00000000" w:rsidRPr="000B2D13" w:rsidRDefault="0071146E" w:rsidP="000B2D13">
            <w:pPr>
              <w:pStyle w:val="BodyText"/>
            </w:pPr>
            <w:r w:rsidRPr="000B2D13">
              <w:t>or:</w:t>
            </w:r>
          </w:p>
          <w:p w:rsidR="00000000" w:rsidRDefault="0071146E" w:rsidP="000B2D13">
            <w:pPr>
              <w:pStyle w:val="ListBullet2"/>
              <w:rPr>
                <w:lang w:val="en-NZ"/>
              </w:rPr>
            </w:pPr>
            <w:r w:rsidRPr="000B2D13">
              <w:t>accompanied and advised by an Aboriginal or Torres Strait Islander person who is a recognised member of the community with experience in primary health care</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4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Emphasis"/>
              </w:rPr>
              <w:lastRenderedPageBreak/>
              <w:t>Context of assessment</w:t>
            </w:r>
            <w:r w:rsidRPr="000B2D13">
              <w:t>:</w:t>
            </w:r>
          </w:p>
        </w:tc>
        <w:tc>
          <w:tcPr>
            <w:tcW w:w="5670"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Competence should be demonstrated working individually, under supervision or as part of a primary health care team working with Aboriginal and/or Torres Strait Islander clients</w:t>
            </w:r>
          </w:p>
          <w:p w:rsidR="00000000" w:rsidRDefault="0071146E" w:rsidP="000B2D13">
            <w:pPr>
              <w:pStyle w:val="BodyText"/>
              <w:rPr>
                <w:lang w:val="en-NZ"/>
              </w:rPr>
            </w:pPr>
            <w:r w:rsidRPr="000B2D13">
              <w:t>Assessment should replicate workplace conditions as far as possible</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4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Emphasis"/>
              </w:rPr>
              <w:t>Related</w:t>
            </w:r>
            <w:r w:rsidRPr="000B2D13">
              <w:rPr>
                <w:rStyle w:val="Emphasis"/>
              </w:rPr>
              <w:t xml:space="preserve"> units</w:t>
            </w:r>
            <w:r w:rsidRPr="000B2D13">
              <w:t>:</w:t>
            </w: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t>This competency unit should be assessed in conjunction with one or more elective competency units providing specific program content</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p>
        </w:tc>
      </w:tr>
    </w:tbl>
    <w:p w:rsidR="0071146E" w:rsidRDefault="0071146E" w:rsidP="000B2D13">
      <w:pPr>
        <w:pStyle w:val="BodyText"/>
      </w:pPr>
    </w:p>
    <w:p w:rsidR="0071146E" w:rsidRDefault="0071146E" w:rsidP="000B2D13">
      <w:pPr>
        <w:pStyle w:val="BodyText"/>
      </w:pPr>
    </w:p>
    <w:p w:rsidR="00000000" w:rsidRPr="000B2D13" w:rsidRDefault="0071146E" w:rsidP="000B2D13">
      <w:pPr>
        <w:pStyle w:val="Heading1"/>
      </w:pPr>
      <w:bookmarkStart w:id="11" w:name="O_251599"/>
      <w:bookmarkEnd w:id="11"/>
      <w:r w:rsidRPr="000B2D13">
        <w:t>Range Statement</w:t>
      </w:r>
    </w:p>
    <w:tbl>
      <w:tblPr>
        <w:tblW w:w="0" w:type="auto"/>
        <w:tblLayout w:type="fixed"/>
        <w:tblCellMar>
          <w:left w:w="62" w:type="dxa"/>
          <w:right w:w="62" w:type="dxa"/>
        </w:tblCellMar>
        <w:tblLook w:val="0000" w:firstRow="0" w:lastRow="0" w:firstColumn="0" w:lastColumn="0" w:noHBand="0" w:noVBand="0"/>
      </w:tblPr>
      <w:tblGrid>
        <w:gridCol w:w="3402"/>
        <w:gridCol w:w="5670"/>
      </w:tblGrid>
      <w:tr w:rsidR="000B2D13" w:rsidTr="0071146E">
        <w:trPr>
          <w:tblHeader/>
        </w:trPr>
        <w:tc>
          <w:tcPr>
            <w:tcW w:w="9072" w:type="dxa"/>
            <w:gridSpan w:val="2"/>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SpecialBold"/>
              </w:rPr>
              <w:t>RANGE STATEMENT</w:t>
            </w:r>
          </w:p>
        </w:tc>
      </w:tr>
      <w:tr w:rsidR="000B2D13" w:rsidTr="0071146E">
        <w:tc>
          <w:tcPr>
            <w:tcW w:w="9072" w:type="dxa"/>
            <w:gridSpan w:val="2"/>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B2D13" w:rsidTr="0071146E">
        <w:tc>
          <w:tcPr>
            <w:tcW w:w="9072" w:type="dxa"/>
            <w:gridSpan w:val="2"/>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t>The Range Statement relates to the unit of competency as a whole. It allows for different work environments and situations that may affect performance. Add any essential operating conditions that may be present with training and assessment depending on the</w:t>
            </w:r>
            <w:r w:rsidRPr="000B2D13">
              <w:t xml:space="preserve"> work situation, needs of the candidate, accessibility of the item, and local industry and regional contexts.</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4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Emphasis"/>
              </w:rPr>
              <w:lastRenderedPageBreak/>
              <w:t>Cultural respect</w:t>
            </w:r>
          </w:p>
        </w:tc>
        <w:tc>
          <w:tcPr>
            <w:tcW w:w="5670"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This competency standard supports the rec</w:t>
            </w:r>
            <w:r w:rsidRPr="000B2D13">
              <w:t>ognition, protection and continued advancement of the inherent rights, cultures and traditions of Aboriginal and Torres Strait Islander peoples</w:t>
            </w:r>
          </w:p>
          <w:p w:rsidR="00000000" w:rsidRPr="000B2D13" w:rsidRDefault="0071146E" w:rsidP="000B2D13">
            <w:pPr>
              <w:pStyle w:val="BodyText"/>
            </w:pPr>
            <w:r w:rsidRPr="000B2D13">
              <w:t>It recognises that the improvement of the health status of Aboriginal and Torres Strait Islander people must inc</w:t>
            </w:r>
            <w:r w:rsidRPr="000B2D13">
              <w:t>lude attention to physical, spiritual, cultural, emotional and social well-being, community capacity and governance</w:t>
            </w:r>
          </w:p>
          <w:p w:rsidR="00000000" w:rsidRDefault="0071146E" w:rsidP="000B2D13">
            <w:pPr>
              <w:pStyle w:val="BodyText"/>
              <w:rPr>
                <w:lang w:val="en-NZ"/>
              </w:rPr>
            </w:pPr>
            <w:r w:rsidRPr="000B2D13">
              <w:t>Its application must be culturally sensitive and supportive of traditional healing and health, knowledge and practices</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4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Emphasis"/>
              </w:rPr>
              <w:t>Community control</w:t>
            </w: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t>Community participation and control in decision-making is essential to all aspects of health work, and the role of the health worker is to support the community in this process</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4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Emphasis"/>
              </w:rPr>
              <w:t>Supervision</w:t>
            </w:r>
          </w:p>
        </w:tc>
        <w:tc>
          <w:tcPr>
            <w:tcW w:w="5670"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Supervision must be conducted in accordance with prevailing St</w:t>
            </w:r>
            <w:r w:rsidRPr="000B2D13">
              <w:t>ate/Territory and organisation legislative and regulatory requirements</w:t>
            </w:r>
          </w:p>
          <w:p w:rsidR="00000000" w:rsidRPr="000B2D13" w:rsidRDefault="0071146E" w:rsidP="000B2D13">
            <w:pPr>
              <w:pStyle w:val="BodyText"/>
            </w:pPr>
            <w:r w:rsidRPr="000B2D13">
              <w:t>References to supervision may include either direct or indirect supervision of work by more experienced workers, supervisors, managers or other health professionals</w:t>
            </w:r>
          </w:p>
          <w:p w:rsidR="00000000" w:rsidRDefault="0071146E" w:rsidP="000B2D13">
            <w:pPr>
              <w:pStyle w:val="BodyText"/>
              <w:rPr>
                <w:lang w:val="en-NZ"/>
              </w:rPr>
            </w:pPr>
            <w:r w:rsidRPr="000B2D13">
              <w:t>A person at this lev</w:t>
            </w:r>
            <w:r w:rsidRPr="000B2D13">
              <w:t xml:space="preserve">el should </w:t>
            </w:r>
            <w:r w:rsidRPr="000B2D13">
              <w:rPr>
                <w:rStyle w:val="BoldandItalics"/>
              </w:rPr>
              <w:t>only</w:t>
            </w:r>
            <w:r w:rsidRPr="000B2D13">
              <w:t xml:space="preserve"> be required to make decisions about clients within the organisation's standard treatment protocols and associated guidelines</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4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Emphasis"/>
              </w:rPr>
              <w:lastRenderedPageBreak/>
              <w:t>Legislative requirements</w:t>
            </w:r>
          </w:p>
        </w:tc>
        <w:tc>
          <w:tcPr>
            <w:tcW w:w="5670"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r w:rsidRPr="000B2D13">
              <w:t>Federal, state or territory legislation may impact on workers' practices and responsibilities. Implementation of the competency standards should reflect the legislative framework in which a health worker operates. It is recognised that this may sometimes r</w:t>
            </w:r>
            <w:r w:rsidRPr="000B2D13">
              <w:t>educe the application of the Range of Variables in practice. However, assessment in the workplace or through simulation should address all essential skills and knowledge across the Range of Variables</w:t>
            </w:r>
          </w:p>
          <w:p w:rsidR="00000000" w:rsidRPr="000B2D13" w:rsidRDefault="0071146E" w:rsidP="000B2D13">
            <w:pPr>
              <w:pStyle w:val="BodyText"/>
            </w:pPr>
            <w:r w:rsidRPr="000B2D13">
              <w:t xml:space="preserve">Aboriginal and/or Torres Strait Islander health workers </w:t>
            </w:r>
            <w:r w:rsidRPr="000B2D13">
              <w:t>may be required to operate in situations that do not constitute 'usual practice' due to lack of resources, remote locations and community needs. As a result, they may need to possess more competencies than described by 'usual practice circumstances'</w:t>
            </w:r>
          </w:p>
          <w:p w:rsidR="00000000" w:rsidRDefault="0071146E" w:rsidP="000B2D13">
            <w:pPr>
              <w:pStyle w:val="BodyText"/>
              <w:rPr>
                <w:lang w:val="en-NZ"/>
              </w:rPr>
            </w:pPr>
            <w:r w:rsidRPr="000B2D13">
              <w:t xml:space="preserve">Under </w:t>
            </w:r>
            <w:r w:rsidRPr="000B2D13">
              <w:t>all circumstances, the employer must enable the worker to function within the prevailing legislative framework</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p>
        </w:tc>
      </w:tr>
      <w:tr w:rsidR="00000000" w:rsidTr="0071146E">
        <w:tc>
          <w:tcPr>
            <w:tcW w:w="3402" w:type="dxa"/>
            <w:tcBorders>
              <w:top w:val="nil"/>
              <w:left w:val="nil"/>
              <w:bottom w:val="nil"/>
              <w:right w:val="nil"/>
            </w:tcBorders>
            <w:tcMar>
              <w:top w:w="0" w:type="dxa"/>
              <w:left w:w="62" w:type="dxa"/>
              <w:bottom w:w="0" w:type="dxa"/>
              <w:right w:w="62" w:type="dxa"/>
            </w:tcMar>
          </w:tcPr>
          <w:p w:rsidR="00000000" w:rsidRDefault="0071146E" w:rsidP="000B2D13">
            <w:pPr>
              <w:pStyle w:val="BodyText"/>
              <w:rPr>
                <w:lang w:val="en-NZ"/>
              </w:rPr>
            </w:pPr>
            <w:r w:rsidRPr="000B2D13">
              <w:rPr>
                <w:rStyle w:val="Emphasis"/>
              </w:rPr>
              <w:t>Social and environmental factors that may improve health include</w:t>
            </w:r>
            <w:r w:rsidRPr="000B2D13">
              <w:t>:</w:t>
            </w:r>
          </w:p>
        </w:tc>
        <w:tc>
          <w:tcPr>
            <w:tcW w:w="5670" w:type="dxa"/>
            <w:tcBorders>
              <w:top w:val="nil"/>
              <w:left w:val="nil"/>
              <w:bottom w:val="nil"/>
              <w:right w:val="nil"/>
            </w:tcBorders>
            <w:tcMar>
              <w:top w:w="0" w:type="dxa"/>
              <w:left w:w="62" w:type="dxa"/>
              <w:bottom w:w="0" w:type="dxa"/>
              <w:right w:w="62" w:type="dxa"/>
            </w:tcMar>
          </w:tcPr>
          <w:p w:rsidR="00000000" w:rsidRPr="000B2D13" w:rsidRDefault="0071146E" w:rsidP="000B2D13">
            <w:pPr>
              <w:pStyle w:val="ListBullet"/>
            </w:pPr>
            <w:r w:rsidRPr="000B2D13">
              <w:t>Creating employment, educational or employment opportunities</w:t>
            </w:r>
          </w:p>
          <w:p w:rsidR="00000000" w:rsidRPr="000B2D13" w:rsidRDefault="0071146E" w:rsidP="000B2D13">
            <w:pPr>
              <w:pStyle w:val="ListBullet"/>
            </w:pPr>
            <w:r w:rsidRPr="000B2D13">
              <w:t>Restrictions o</w:t>
            </w:r>
            <w:r w:rsidRPr="000B2D13">
              <w:t>n liquor licensing and alcohol trading hours</w:t>
            </w:r>
          </w:p>
          <w:p w:rsidR="00000000" w:rsidRDefault="0071146E" w:rsidP="000B2D13">
            <w:pPr>
              <w:pStyle w:val="ListBullet"/>
              <w:rPr>
                <w:lang w:val="en-NZ"/>
              </w:rPr>
            </w:pPr>
            <w:r w:rsidRPr="000B2D13">
              <w:t>Improved relations between police and communities</w:t>
            </w:r>
          </w:p>
        </w:tc>
      </w:tr>
      <w:tr w:rsidR="00000000" w:rsidRPr="000B2D13" w:rsidTr="0071146E">
        <w:tc>
          <w:tcPr>
            <w:tcW w:w="3402" w:type="dxa"/>
            <w:tcBorders>
              <w:top w:val="nil"/>
              <w:left w:val="nil"/>
              <w:bottom w:val="nil"/>
              <w:right w:val="nil"/>
            </w:tcBorders>
            <w:tcMar>
              <w:top w:w="0" w:type="dxa"/>
              <w:left w:w="62" w:type="dxa"/>
              <w:bottom w:w="0" w:type="dxa"/>
              <w:right w:w="62" w:type="dxa"/>
            </w:tcMar>
          </w:tcPr>
          <w:p w:rsidR="00000000" w:rsidRDefault="0071146E">
            <w:pPr>
              <w:pStyle w:val="BodyText"/>
              <w:keepNext w:val="0"/>
              <w:keepLines w:val="0"/>
              <w:contextualSpacing w:val="0"/>
              <w:rPr>
                <w:rFonts w:ascii="Tahoma" w:hAnsi="Tahoma"/>
                <w:color w:val="000000"/>
                <w:sz w:val="20"/>
                <w:lang w:val="en-NZ"/>
              </w:rPr>
            </w:pPr>
          </w:p>
        </w:tc>
        <w:tc>
          <w:tcPr>
            <w:tcW w:w="5670" w:type="dxa"/>
            <w:tcBorders>
              <w:top w:val="nil"/>
              <w:left w:val="nil"/>
              <w:bottom w:val="nil"/>
              <w:right w:val="nil"/>
            </w:tcBorders>
            <w:tcMar>
              <w:top w:w="0" w:type="dxa"/>
              <w:left w:w="62" w:type="dxa"/>
              <w:bottom w:w="0" w:type="dxa"/>
              <w:right w:w="62" w:type="dxa"/>
            </w:tcMar>
          </w:tcPr>
          <w:p w:rsidR="00000000" w:rsidRPr="000B2D13" w:rsidRDefault="0071146E" w:rsidP="000B2D13">
            <w:pPr>
              <w:pStyle w:val="BodyText"/>
            </w:pPr>
          </w:p>
        </w:tc>
      </w:tr>
    </w:tbl>
    <w:p w:rsidR="0071146E" w:rsidRDefault="0071146E" w:rsidP="000B2D13">
      <w:pPr>
        <w:pStyle w:val="BodyText"/>
      </w:pPr>
    </w:p>
    <w:p w:rsidR="0071146E" w:rsidRDefault="0071146E" w:rsidP="000B2D13">
      <w:pPr>
        <w:pStyle w:val="BodyText"/>
      </w:pPr>
    </w:p>
    <w:p w:rsidR="00000000" w:rsidRPr="000B2D13" w:rsidRDefault="0071146E" w:rsidP="000B2D13">
      <w:pPr>
        <w:pStyle w:val="Heading1"/>
      </w:pPr>
      <w:bookmarkStart w:id="12" w:name="O_294825"/>
      <w:bookmarkEnd w:id="12"/>
      <w:r w:rsidRPr="000B2D13">
        <w:t>Unit Sector(s)</w:t>
      </w:r>
    </w:p>
    <w:p w:rsidR="00000000" w:rsidRPr="000B2D13" w:rsidRDefault="0071146E" w:rsidP="000B2D13">
      <w:pPr>
        <w:pStyle w:val="BodyText"/>
      </w:pPr>
      <w:r w:rsidRPr="000B2D13">
        <w:t>Not Applicable</w:t>
      </w:r>
    </w:p>
    <w:p w:rsidR="00000000" w:rsidRPr="000B2D13" w:rsidRDefault="0071146E" w:rsidP="000B2D13"/>
    <w:sectPr w:rsidR="00000000" w:rsidRPr="000B2D13" w:rsidSect="000B2D13">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146E">
      <w:r>
        <w:separator/>
      </w:r>
    </w:p>
  </w:endnote>
  <w:endnote w:type="continuationSeparator" w:id="0">
    <w:p w:rsidR="00000000" w:rsidRDefault="0071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13" w:rsidRDefault="000B2D13">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71146E" w:rsidRDefault="0071146E" w:rsidP="0071146E">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13" w:rsidRDefault="000B2D13">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6E" w:rsidRDefault="0071146E" w:rsidP="000B2D13">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10</w:t>
      </w:r>
    </w:fldSimple>
  </w:p>
  <w:p w:rsidR="0071146E" w:rsidRDefault="0071146E" w:rsidP="000B2D13">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Community Services and Health Industry Skills Council</w:t>
      </w:r>
    </w:fldSimple>
  </w:p>
  <w:p w:rsidR="0071146E" w:rsidRDefault="0071146E" w:rsidP="000B2D13">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146E">
      <w:r>
        <w:separator/>
      </w:r>
    </w:p>
  </w:footnote>
  <w:footnote w:type="continuationSeparator" w:id="0">
    <w:p w:rsidR="00000000" w:rsidRDefault="0071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13" w:rsidRDefault="000B2D13">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13" w:rsidRPr="0071146E" w:rsidRDefault="0071146E" w:rsidP="0071146E">
    <w:pPr>
      <w:pStyle w:val="BodyText"/>
    </w:pPr>
    <w:r>
      <w:rPr>
        <w:noProof/>
        <w:lang w:eastAsia="en-AU"/>
      </w:rPr>
      <w:drawing>
        <wp:anchor distT="0" distB="0" distL="114300" distR="114300" simplePos="0" relativeHeight="251659264" behindDoc="1" locked="0" layoutInCell="1" allowOverlap="1" wp14:anchorId="25FCF91E" wp14:editId="74EDB2E9">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13" w:rsidRDefault="000B2D13">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6E" w:rsidRPr="002D2AF8" w:rsidRDefault="0071146E" w:rsidP="000B2D13">
    <w:pPr>
      <w:pStyle w:val="Header"/>
      <w:framePr w:wrap="around"/>
    </w:pPr>
    <w:fldSimple w:instr=" TITLE   \* MERGEFORMAT ">
      <w:r>
        <w:t>HLTAHW409B Deliver health promotion programs for Aboriginal and/or Torres Strait Islander communities</w:t>
      </w:r>
    </w:fldSimple>
    <w:r>
      <w:tab/>
      <w:t xml:space="preserve">Date this document was generated: </w:t>
    </w:r>
    <w:r>
      <w:fldChar w:fldCharType="begin"/>
    </w:r>
    <w:r>
      <w:instrText xml:space="preserve"> CREATEDATE  \@ "d MMMM yyyy"  \* MERGEFORMAT </w:instrText>
    </w:r>
    <w:r>
      <w:fldChar w:fldCharType="separate"/>
    </w:r>
    <w:r>
      <w:rPr>
        <w:noProof/>
      </w:rPr>
      <w:t>5 October 2012</w:t>
    </w:r>
    <w:r>
      <w:fldChar w:fldCharType="end"/>
    </w:r>
  </w:p>
  <w:p w:rsidR="0071146E" w:rsidRDefault="0071146E" w:rsidP="000B2D13">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B004FEB0"/>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A22E43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7338AA6C"/>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5"/>
  </w:num>
  <w:num w:numId="11">
    <w:abstractNumId w:val="13"/>
  </w:num>
  <w:num w:numId="12">
    <w:abstractNumId w:val="9"/>
  </w:num>
  <w:num w:numId="13">
    <w:abstractNumId w:val="12"/>
  </w:num>
  <w:num w:numId="14">
    <w:abstractNumId w:val="10"/>
  </w:num>
  <w:num w:numId="15">
    <w:abstractNumId w:val="5"/>
  </w:num>
  <w:num w:numId="16">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B2D13"/>
    <w:rsid w:val="000B2D13"/>
    <w:rsid w:val="00711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lsdException w:name="List 3" w:uiPriority="0"/>
    <w:lsdException w:name="List 4" w:uiPriority="0"/>
    <w:lsdException w:name="List 5" w:uiPriority="0"/>
    <w:lsdException w:name="List Bullet 2" w:uiPriority="0" w:unhideWhenUsed="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13"/>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0B2D13"/>
    <w:pPr>
      <w:spacing w:before="360" w:after="60"/>
      <w:outlineLvl w:val="0"/>
    </w:pPr>
    <w:rPr>
      <w:sz w:val="32"/>
    </w:rPr>
  </w:style>
  <w:style w:type="paragraph" w:styleId="Heading2">
    <w:name w:val="heading 2"/>
    <w:basedOn w:val="HeadingBase"/>
    <w:next w:val="BodyText"/>
    <w:link w:val="Heading2Char"/>
    <w:qFormat/>
    <w:rsid w:val="000B2D13"/>
    <w:pPr>
      <w:keepLines/>
      <w:spacing w:before="240" w:after="120"/>
      <w:outlineLvl w:val="1"/>
    </w:pPr>
    <w:rPr>
      <w:sz w:val="28"/>
      <w:szCs w:val="40"/>
    </w:rPr>
  </w:style>
  <w:style w:type="paragraph" w:styleId="Heading3">
    <w:name w:val="heading 3"/>
    <w:basedOn w:val="HeadingBase"/>
    <w:next w:val="BodyText"/>
    <w:link w:val="Heading3Char"/>
    <w:qFormat/>
    <w:rsid w:val="000B2D13"/>
    <w:pPr>
      <w:spacing w:before="180" w:after="120"/>
      <w:outlineLvl w:val="2"/>
    </w:pPr>
    <w:rPr>
      <w:spacing w:val="-10"/>
      <w:kern w:val="32"/>
    </w:rPr>
  </w:style>
  <w:style w:type="paragraph" w:styleId="Heading4">
    <w:name w:val="heading 4"/>
    <w:basedOn w:val="HeadingBase"/>
    <w:next w:val="BodyText"/>
    <w:link w:val="Heading4Char"/>
    <w:qFormat/>
    <w:rsid w:val="000B2D13"/>
    <w:pPr>
      <w:spacing w:before="160" w:after="120"/>
      <w:outlineLvl w:val="3"/>
    </w:pPr>
    <w:rPr>
      <w:sz w:val="22"/>
    </w:rPr>
  </w:style>
  <w:style w:type="paragraph" w:styleId="Heading5">
    <w:name w:val="heading 5"/>
    <w:basedOn w:val="HeadingBase"/>
    <w:next w:val="Normal"/>
    <w:link w:val="Heading5Char"/>
    <w:qFormat/>
    <w:rsid w:val="000B2D13"/>
    <w:pPr>
      <w:spacing w:before="80"/>
      <w:outlineLvl w:val="4"/>
    </w:pPr>
    <w:rPr>
      <w:color w:val="918585"/>
      <w:sz w:val="20"/>
    </w:rPr>
  </w:style>
  <w:style w:type="paragraph" w:styleId="Heading6">
    <w:name w:val="heading 6"/>
    <w:basedOn w:val="HeadingBase"/>
    <w:next w:val="Normal"/>
    <w:link w:val="Heading6Char"/>
    <w:qFormat/>
    <w:rsid w:val="000B2D13"/>
    <w:pPr>
      <w:spacing w:before="60"/>
      <w:outlineLvl w:val="5"/>
    </w:pPr>
    <w:rPr>
      <w:color w:val="918585"/>
      <w:sz w:val="20"/>
    </w:rPr>
  </w:style>
  <w:style w:type="paragraph" w:styleId="Heading7">
    <w:name w:val="heading 7"/>
    <w:basedOn w:val="Normal"/>
    <w:next w:val="Normal"/>
    <w:link w:val="Heading7Char"/>
    <w:qFormat/>
    <w:rsid w:val="000B2D13"/>
    <w:pPr>
      <w:ind w:left="720"/>
      <w:outlineLvl w:val="6"/>
    </w:pPr>
    <w:rPr>
      <w:i/>
    </w:rPr>
  </w:style>
  <w:style w:type="paragraph" w:styleId="Heading8">
    <w:name w:val="heading 8"/>
    <w:basedOn w:val="Normal"/>
    <w:next w:val="Normal"/>
    <w:link w:val="Heading8Char"/>
    <w:qFormat/>
    <w:rsid w:val="000B2D13"/>
    <w:pPr>
      <w:ind w:left="720"/>
      <w:outlineLvl w:val="7"/>
    </w:pPr>
    <w:rPr>
      <w:i/>
    </w:rPr>
  </w:style>
  <w:style w:type="paragraph" w:styleId="Heading9">
    <w:name w:val="heading 9"/>
    <w:basedOn w:val="Normal"/>
    <w:next w:val="Normal"/>
    <w:link w:val="Heading9Char"/>
    <w:qFormat/>
    <w:rsid w:val="000B2D13"/>
    <w:pPr>
      <w:ind w:left="720"/>
      <w:outlineLvl w:val="8"/>
    </w:pPr>
    <w:rPr>
      <w:i/>
    </w:rPr>
  </w:style>
  <w:style w:type="character" w:default="1" w:styleId="DefaultParagraphFont">
    <w:name w:val="Default Paragraph Font"/>
    <w:uiPriority w:val="1"/>
    <w:unhideWhenUsed/>
    <w:rsid w:val="000B2D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2D13"/>
  </w:style>
  <w:style w:type="character" w:customStyle="1" w:styleId="Heading1Char">
    <w:name w:val="Heading 1 Char"/>
    <w:basedOn w:val="DefaultParagraphFont"/>
    <w:link w:val="Heading1"/>
    <w:rsid w:val="000B2D13"/>
    <w:rPr>
      <w:rFonts w:ascii="Times New Roman" w:eastAsia="Times New Roman" w:hAnsi="Times New Roman" w:cs="Times New Roman"/>
      <w:b/>
      <w:sz w:val="32"/>
      <w:szCs w:val="20"/>
      <w:lang w:eastAsia="en-US"/>
    </w:rPr>
  </w:style>
  <w:style w:type="paragraph" w:styleId="BodyText">
    <w:name w:val="Body Text"/>
    <w:basedOn w:val="Normal"/>
    <w:link w:val="BodyTextChar"/>
    <w:rsid w:val="000B2D13"/>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0B2D13"/>
    <w:rPr>
      <w:rFonts w:ascii="Times New Roman" w:eastAsia="Times New Roman" w:hAnsi="Times New Roman" w:cs="Times New Roman"/>
      <w:sz w:val="24"/>
      <w:lang w:eastAsia="en-US"/>
    </w:rPr>
  </w:style>
  <w:style w:type="paragraph" w:styleId="Footer">
    <w:name w:val="footer"/>
    <w:basedOn w:val="Normal"/>
    <w:link w:val="FooterChar"/>
    <w:rsid w:val="000B2D13"/>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0B2D13"/>
    <w:rPr>
      <w:rFonts w:ascii="Times New Roman" w:eastAsia="Times New Roman" w:hAnsi="Times New Roman" w:cs="Times New Roman"/>
      <w:sz w:val="16"/>
      <w:lang w:eastAsia="en-US"/>
    </w:rPr>
  </w:style>
  <w:style w:type="paragraph" w:styleId="List">
    <w:name w:val="List"/>
    <w:basedOn w:val="BodyText"/>
    <w:next w:val="BodyText"/>
    <w:rsid w:val="000B2D13"/>
    <w:pPr>
      <w:tabs>
        <w:tab w:val="left" w:pos="340"/>
      </w:tabs>
      <w:spacing w:before="60" w:after="60"/>
      <w:ind w:left="340" w:hanging="340"/>
    </w:pPr>
  </w:style>
  <w:style w:type="paragraph" w:styleId="ListBullet">
    <w:name w:val="List Bullet"/>
    <w:basedOn w:val="List"/>
    <w:rsid w:val="000B2D13"/>
    <w:pPr>
      <w:numPr>
        <w:numId w:val="13"/>
      </w:numPr>
      <w:tabs>
        <w:tab w:val="clear" w:pos="340"/>
      </w:tabs>
      <w:spacing w:before="40" w:after="40"/>
    </w:pPr>
  </w:style>
  <w:style w:type="character" w:customStyle="1" w:styleId="SpecialBold">
    <w:name w:val="Special Bold"/>
    <w:basedOn w:val="DefaultParagraphFont"/>
    <w:rsid w:val="000B2D13"/>
    <w:rPr>
      <w:b/>
      <w:spacing w:val="0"/>
    </w:rPr>
  </w:style>
  <w:style w:type="paragraph" w:styleId="ListBullet2">
    <w:name w:val="List Bullet 2"/>
    <w:basedOn w:val="List2"/>
    <w:rsid w:val="000B2D13"/>
    <w:pPr>
      <w:numPr>
        <w:numId w:val="14"/>
      </w:numPr>
      <w:tabs>
        <w:tab w:val="clear" w:pos="680"/>
      </w:tabs>
    </w:pPr>
  </w:style>
  <w:style w:type="character" w:styleId="Emphasis">
    <w:name w:val="Emphasis"/>
    <w:basedOn w:val="DefaultParagraphFont"/>
    <w:qFormat/>
    <w:rsid w:val="000B2D13"/>
    <w:rPr>
      <w:i/>
    </w:rPr>
  </w:style>
  <w:style w:type="paragraph" w:customStyle="1" w:styleId="SuperHeading">
    <w:name w:val="SuperHeading"/>
    <w:basedOn w:val="Normal"/>
    <w:rsid w:val="000B2D13"/>
    <w:pPr>
      <w:spacing w:before="240" w:after="120"/>
      <w:outlineLvl w:val="0"/>
    </w:pPr>
    <w:rPr>
      <w:rFonts w:ascii="Times New Roman" w:hAnsi="Times New Roman"/>
      <w:b/>
      <w:sz w:val="28"/>
    </w:rPr>
  </w:style>
  <w:style w:type="paragraph" w:customStyle="1" w:styleId="AllowPageBreak">
    <w:name w:val="AllowPageBreak"/>
    <w:rsid w:val="000B2D13"/>
    <w:pPr>
      <w:widowControl w:val="0"/>
      <w:spacing w:after="0" w:line="240" w:lineRule="auto"/>
    </w:pPr>
    <w:rPr>
      <w:rFonts w:ascii="Times New Roman" w:eastAsia="Times New Roman" w:hAnsi="Times New Roman" w:cs="Times New Roman"/>
      <w:noProof/>
      <w:sz w:val="2"/>
      <w:szCs w:val="20"/>
      <w:lang w:eastAsia="en-US"/>
    </w:rPr>
  </w:style>
  <w:style w:type="character" w:customStyle="1" w:styleId="BoldandItalics">
    <w:name w:val="Bold and Italics"/>
    <w:qFormat/>
    <w:rsid w:val="000B2D13"/>
    <w:rPr>
      <w:b/>
      <w:i/>
      <w:u w:val="none"/>
    </w:rPr>
  </w:style>
  <w:style w:type="character" w:customStyle="1" w:styleId="Heading2Char">
    <w:name w:val="Heading 2 Char"/>
    <w:basedOn w:val="DefaultParagraphFont"/>
    <w:link w:val="Heading2"/>
    <w:rsid w:val="000B2D13"/>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0B2D13"/>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0B2D13"/>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0B2D13"/>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0B2D13"/>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0B2D13"/>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0B2D13"/>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0B2D13"/>
    <w:rPr>
      <w:rFonts w:ascii="Courier New" w:eastAsia="Times New Roman" w:hAnsi="Courier New" w:cs="Times New Roman"/>
      <w:i/>
      <w:szCs w:val="20"/>
      <w:lang w:eastAsia="en-US"/>
    </w:rPr>
  </w:style>
  <w:style w:type="paragraph" w:customStyle="1" w:styleId="HeadingBase">
    <w:name w:val="Heading Base"/>
    <w:rsid w:val="000B2D13"/>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0B2D13"/>
    <w:pPr>
      <w:tabs>
        <w:tab w:val="right" w:leader="dot" w:pos="9072"/>
      </w:tabs>
      <w:ind w:left="567"/>
    </w:pPr>
    <w:rPr>
      <w:szCs w:val="22"/>
    </w:rPr>
  </w:style>
  <w:style w:type="paragraph" w:customStyle="1" w:styleId="TOCBase">
    <w:name w:val="TOC Base"/>
    <w:rsid w:val="000B2D13"/>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0B2D13"/>
    <w:pPr>
      <w:tabs>
        <w:tab w:val="right" w:leader="dot" w:pos="9072"/>
      </w:tabs>
      <w:spacing w:before="40" w:after="40"/>
      <w:ind w:left="284"/>
    </w:pPr>
    <w:rPr>
      <w:rFonts w:ascii="Times New Roman" w:hAnsi="Times New Roman"/>
    </w:rPr>
  </w:style>
  <w:style w:type="paragraph" w:styleId="TOC1">
    <w:name w:val="toc 1"/>
    <w:basedOn w:val="TOCBase"/>
    <w:next w:val="Normal"/>
    <w:rsid w:val="000B2D13"/>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0B2D13"/>
    <w:pPr>
      <w:spacing w:before="5040"/>
      <w:jc w:val="center"/>
    </w:pPr>
    <w:rPr>
      <w:sz w:val="48"/>
      <w:szCs w:val="72"/>
      <w:lang w:val="en-US"/>
    </w:rPr>
  </w:style>
  <w:style w:type="character" w:customStyle="1" w:styleId="TitleChar">
    <w:name w:val="Title Char"/>
    <w:basedOn w:val="DefaultParagraphFont"/>
    <w:link w:val="Title"/>
    <w:rsid w:val="000B2D13"/>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0B2D13"/>
    <w:pPr>
      <w:tabs>
        <w:tab w:val="left" w:pos="3600"/>
        <w:tab w:val="left" w:pos="3958"/>
      </w:tabs>
    </w:pPr>
  </w:style>
  <w:style w:type="paragraph" w:customStyle="1" w:styleId="Note">
    <w:name w:val="Note"/>
    <w:basedOn w:val="BodyText"/>
    <w:rsid w:val="000B2D13"/>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0B2D13"/>
    <w:pPr>
      <w:framePr w:wrap="auto" w:hAnchor="text" w:y="6049"/>
    </w:pPr>
    <w:rPr>
      <w:color w:val="000000"/>
      <w:sz w:val="40"/>
    </w:rPr>
  </w:style>
  <w:style w:type="paragraph" w:customStyle="1" w:styleId="TOCTitle">
    <w:name w:val="TOCTitle"/>
    <w:basedOn w:val="Heading1"/>
    <w:rsid w:val="000B2D13"/>
    <w:pPr>
      <w:spacing w:after="240"/>
      <w:jc w:val="center"/>
      <w:outlineLvl w:val="9"/>
    </w:pPr>
    <w:rPr>
      <w:caps/>
    </w:rPr>
  </w:style>
  <w:style w:type="paragraph" w:customStyle="1" w:styleId="Version">
    <w:name w:val="Version"/>
    <w:rsid w:val="000B2D13"/>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0B2D13"/>
    <w:pPr>
      <w:keepNext w:val="0"/>
      <w:tabs>
        <w:tab w:val="right" w:pos="4176"/>
      </w:tabs>
      <w:ind w:left="198" w:hanging="198"/>
    </w:pPr>
    <w:rPr>
      <w:rFonts w:ascii="Garamond" w:hAnsi="Garamond"/>
    </w:rPr>
  </w:style>
  <w:style w:type="paragraph" w:styleId="IndexHeading">
    <w:name w:val="index heading"/>
    <w:basedOn w:val="Normal"/>
    <w:next w:val="Index1"/>
    <w:semiHidden/>
    <w:rsid w:val="000B2D13"/>
    <w:pPr>
      <w:spacing w:before="120" w:after="120"/>
    </w:pPr>
    <w:rPr>
      <w:rFonts w:ascii="Arial" w:hAnsi="Arial"/>
      <w:b/>
      <w:color w:val="918585"/>
      <w:sz w:val="24"/>
    </w:rPr>
  </w:style>
  <w:style w:type="paragraph" w:styleId="Header">
    <w:name w:val="header"/>
    <w:basedOn w:val="Normal"/>
    <w:link w:val="HeaderChar"/>
    <w:rsid w:val="000B2D13"/>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0B2D13"/>
    <w:rPr>
      <w:rFonts w:ascii="Times New Roman" w:eastAsia="Times New Roman" w:hAnsi="Times New Roman" w:cs="Times New Roman"/>
      <w:sz w:val="16"/>
      <w:szCs w:val="20"/>
      <w:lang w:val="en-GB" w:eastAsia="en-US"/>
    </w:rPr>
  </w:style>
  <w:style w:type="paragraph" w:customStyle="1" w:styleId="Chapter">
    <w:name w:val="Chapter"/>
    <w:basedOn w:val="Normal"/>
    <w:rsid w:val="000B2D13"/>
    <w:pPr>
      <w:spacing w:before="240"/>
    </w:pPr>
    <w:rPr>
      <w:rFonts w:ascii="Times New Roman" w:hAnsi="Times New Roman"/>
      <w:smallCaps/>
      <w:spacing w:val="80"/>
      <w:sz w:val="28"/>
    </w:rPr>
  </w:style>
  <w:style w:type="paragraph" w:customStyle="1" w:styleId="InChapter">
    <w:name w:val="InChapter"/>
    <w:basedOn w:val="Heading3"/>
    <w:rsid w:val="000B2D13"/>
    <w:pPr>
      <w:spacing w:after="240"/>
      <w:outlineLvl w:val="9"/>
    </w:pPr>
    <w:rPr>
      <w:noProof/>
    </w:rPr>
  </w:style>
  <w:style w:type="paragraph" w:styleId="Index2">
    <w:name w:val="index 2"/>
    <w:basedOn w:val="Normal"/>
    <w:next w:val="Normal"/>
    <w:semiHidden/>
    <w:rsid w:val="000B2D13"/>
    <w:pPr>
      <w:tabs>
        <w:tab w:val="right" w:pos="4176"/>
      </w:tabs>
      <w:ind w:left="568" w:hanging="284"/>
    </w:pPr>
    <w:rPr>
      <w:rFonts w:ascii="Garamond" w:hAnsi="Garamond"/>
    </w:rPr>
  </w:style>
  <w:style w:type="paragraph" w:customStyle="1" w:styleId="Byline">
    <w:name w:val="Byline"/>
    <w:rsid w:val="000B2D13"/>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0B2D13"/>
    <w:pPr>
      <w:tabs>
        <w:tab w:val="clear" w:pos="3600"/>
        <w:tab w:val="clear" w:pos="3958"/>
      </w:tabs>
      <w:jc w:val="right"/>
    </w:pPr>
  </w:style>
  <w:style w:type="paragraph" w:styleId="Caption">
    <w:name w:val="caption"/>
    <w:basedOn w:val="BodyText"/>
    <w:next w:val="Normal"/>
    <w:qFormat/>
    <w:rsid w:val="000B2D13"/>
    <w:pPr>
      <w:framePr w:w="2268" w:hSpace="181" w:vSpace="181" w:wrap="around" w:vAnchor="text" w:hAnchor="page" w:x="1135" w:y="285" w:anchorLock="1"/>
    </w:pPr>
    <w:rPr>
      <w:i/>
    </w:rPr>
  </w:style>
  <w:style w:type="paragraph" w:customStyle="1" w:styleId="MiniTOCTitle">
    <w:name w:val="MiniTOCTitle"/>
    <w:basedOn w:val="Heading4"/>
    <w:rsid w:val="000B2D13"/>
    <w:pPr>
      <w:spacing w:before="240"/>
      <w:outlineLvl w:val="9"/>
    </w:pPr>
    <w:rPr>
      <w:noProof/>
      <w:sz w:val="24"/>
    </w:rPr>
  </w:style>
  <w:style w:type="paragraph" w:customStyle="1" w:styleId="MiniTOCItem">
    <w:name w:val="MiniTOCItem"/>
    <w:basedOn w:val="ListBullet"/>
    <w:rsid w:val="000B2D13"/>
    <w:pPr>
      <w:numPr>
        <w:numId w:val="0"/>
      </w:numPr>
      <w:tabs>
        <w:tab w:val="right" w:leader="dot" w:pos="6521"/>
      </w:tabs>
      <w:spacing w:before="0" w:after="0"/>
    </w:pPr>
  </w:style>
  <w:style w:type="paragraph" w:customStyle="1" w:styleId="TOFTitle">
    <w:name w:val="TOFTitle"/>
    <w:basedOn w:val="TOCTitle"/>
    <w:rsid w:val="000B2D13"/>
  </w:style>
  <w:style w:type="paragraph" w:styleId="TableofFigures">
    <w:name w:val="table of figures"/>
    <w:basedOn w:val="Normal"/>
    <w:next w:val="Normal"/>
    <w:semiHidden/>
    <w:rsid w:val="000B2D13"/>
    <w:pPr>
      <w:tabs>
        <w:tab w:val="right" w:leader="dot" w:pos="9072"/>
      </w:tabs>
      <w:ind w:left="970" w:hanging="403"/>
    </w:pPr>
    <w:rPr>
      <w:rFonts w:ascii="Times New Roman" w:hAnsi="Times New Roman"/>
      <w:b/>
    </w:rPr>
  </w:style>
  <w:style w:type="paragraph" w:styleId="ListNumber">
    <w:name w:val="List Number"/>
    <w:basedOn w:val="List"/>
    <w:rsid w:val="000B2D13"/>
    <w:pPr>
      <w:numPr>
        <w:numId w:val="11"/>
      </w:numPr>
    </w:pPr>
  </w:style>
  <w:style w:type="character" w:customStyle="1" w:styleId="WingdingSymbols">
    <w:name w:val="Wingding Symbols"/>
    <w:rsid w:val="000B2D13"/>
    <w:rPr>
      <w:rFonts w:ascii="Wingdings" w:hAnsi="Wingdings"/>
    </w:rPr>
  </w:style>
  <w:style w:type="paragraph" w:customStyle="1" w:styleId="TableHeading">
    <w:name w:val="Table Heading"/>
    <w:basedOn w:val="HeadingBase"/>
    <w:rsid w:val="000B2D13"/>
    <w:pPr>
      <w:keepLines/>
      <w:pBdr>
        <w:bottom w:val="single" w:sz="6" w:space="1" w:color="918585"/>
      </w:pBdr>
      <w:spacing w:before="240"/>
    </w:pPr>
  </w:style>
  <w:style w:type="character" w:customStyle="1" w:styleId="HotSpot">
    <w:name w:val="HotSpot"/>
    <w:rsid w:val="000B2D13"/>
    <w:rPr>
      <w:color w:val="0033CC"/>
      <w:u w:val="none"/>
    </w:rPr>
  </w:style>
  <w:style w:type="paragraph" w:customStyle="1" w:styleId="BodyTextRight">
    <w:name w:val="Body Text Right"/>
    <w:basedOn w:val="BodyText"/>
    <w:rsid w:val="000B2D13"/>
    <w:pPr>
      <w:spacing w:before="0" w:after="0"/>
      <w:jc w:val="right"/>
    </w:pPr>
  </w:style>
  <w:style w:type="paragraph" w:styleId="Index3">
    <w:name w:val="index 3"/>
    <w:basedOn w:val="ListNumber2"/>
    <w:next w:val="Normal"/>
    <w:semiHidden/>
    <w:rsid w:val="000B2D13"/>
    <w:pPr>
      <w:numPr>
        <w:numId w:val="0"/>
      </w:numPr>
      <w:tabs>
        <w:tab w:val="right" w:leader="dot" w:pos="4176"/>
      </w:tabs>
    </w:pPr>
  </w:style>
  <w:style w:type="paragraph" w:styleId="ListNumber2">
    <w:name w:val="List Number 2"/>
    <w:basedOn w:val="List2"/>
    <w:rsid w:val="000B2D13"/>
    <w:pPr>
      <w:numPr>
        <w:numId w:val="10"/>
      </w:numPr>
      <w:tabs>
        <w:tab w:val="clear" w:pos="1060"/>
      </w:tabs>
    </w:pPr>
  </w:style>
  <w:style w:type="paragraph" w:customStyle="1" w:styleId="MarginNote">
    <w:name w:val="Margin Note"/>
    <w:basedOn w:val="BodyText"/>
    <w:rsid w:val="000B2D13"/>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0B2D13"/>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0B2D13"/>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0B2D13"/>
    <w:rPr>
      <w:sz w:val="32"/>
    </w:rPr>
  </w:style>
  <w:style w:type="paragraph" w:customStyle="1" w:styleId="HeadingProcedure">
    <w:name w:val="Heading Procedure"/>
    <w:basedOn w:val="HeadingBase"/>
    <w:next w:val="Normal"/>
    <w:rsid w:val="000B2D13"/>
    <w:pPr>
      <w:tabs>
        <w:tab w:val="left" w:pos="0"/>
      </w:tabs>
      <w:spacing w:before="120" w:after="60"/>
    </w:pPr>
    <w:rPr>
      <w:i/>
      <w:color w:val="918585"/>
      <w:sz w:val="22"/>
    </w:rPr>
  </w:style>
  <w:style w:type="paragraph" w:customStyle="1" w:styleId="TableBodyText">
    <w:name w:val="Table Body Text"/>
    <w:basedOn w:val="BodyText"/>
    <w:rsid w:val="000B2D13"/>
    <w:pPr>
      <w:spacing w:before="60" w:after="60"/>
    </w:pPr>
  </w:style>
  <w:style w:type="paragraph" w:styleId="ListContinue">
    <w:name w:val="List Continue"/>
    <w:basedOn w:val="List"/>
    <w:rsid w:val="000B2D13"/>
    <w:pPr>
      <w:ind w:firstLine="0"/>
    </w:pPr>
  </w:style>
  <w:style w:type="paragraph" w:customStyle="1" w:styleId="ListNote">
    <w:name w:val="List Note"/>
    <w:basedOn w:val="List"/>
    <w:rsid w:val="000B2D13"/>
    <w:pPr>
      <w:pBdr>
        <w:top w:val="single" w:sz="6" w:space="2" w:color="918585"/>
        <w:bottom w:val="single" w:sz="6" w:space="2" w:color="918585"/>
      </w:pBdr>
      <w:tabs>
        <w:tab w:val="left" w:pos="1021"/>
      </w:tabs>
      <w:ind w:firstLine="0"/>
    </w:pPr>
  </w:style>
  <w:style w:type="paragraph" w:customStyle="1" w:styleId="Warning">
    <w:name w:val="Warning"/>
    <w:basedOn w:val="BodyText"/>
    <w:rsid w:val="000B2D13"/>
    <w:pPr>
      <w:shd w:val="clear" w:color="auto" w:fill="D9D9D9"/>
      <w:tabs>
        <w:tab w:val="left" w:pos="992"/>
      </w:tabs>
      <w:ind w:left="119" w:right="119"/>
    </w:pPr>
    <w:rPr>
      <w:sz w:val="20"/>
    </w:rPr>
  </w:style>
  <w:style w:type="paragraph" w:customStyle="1" w:styleId="MarginIcons">
    <w:name w:val="Margin Icons"/>
    <w:basedOn w:val="BodyText"/>
    <w:rsid w:val="000B2D13"/>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0B2D13"/>
    <w:rPr>
      <w:rFonts w:ascii="Courier New" w:hAnsi="Courier New"/>
    </w:rPr>
  </w:style>
  <w:style w:type="paragraph" w:customStyle="1" w:styleId="NoteBullet">
    <w:name w:val="Note Bullet"/>
    <w:basedOn w:val="Note"/>
    <w:rsid w:val="000B2D13"/>
    <w:pPr>
      <w:tabs>
        <w:tab w:val="clear" w:pos="680"/>
      </w:tabs>
      <w:spacing w:before="60" w:after="60"/>
    </w:pPr>
  </w:style>
  <w:style w:type="paragraph" w:customStyle="1" w:styleId="SubHeading2">
    <w:name w:val="SubHeading2"/>
    <w:basedOn w:val="HeadingBase"/>
    <w:rsid w:val="000B2D13"/>
    <w:pPr>
      <w:spacing w:before="240" w:after="60"/>
    </w:pPr>
    <w:rPr>
      <w:sz w:val="20"/>
    </w:rPr>
  </w:style>
  <w:style w:type="paragraph" w:customStyle="1" w:styleId="SubHeading1">
    <w:name w:val="SubHeading1"/>
    <w:basedOn w:val="HeadingBase"/>
    <w:rsid w:val="000B2D13"/>
    <w:pPr>
      <w:spacing w:before="240" w:after="60"/>
    </w:pPr>
    <w:rPr>
      <w:color w:val="918585"/>
      <w:sz w:val="22"/>
    </w:rPr>
  </w:style>
  <w:style w:type="paragraph" w:customStyle="1" w:styleId="SideHeading">
    <w:name w:val="Side Heading"/>
    <w:basedOn w:val="HeadingBase"/>
    <w:rsid w:val="000B2D13"/>
    <w:pPr>
      <w:framePr w:w="2268" w:h="567" w:hSpace="181" w:vSpace="181" w:wrap="around" w:vAnchor="text" w:hAnchor="page" w:x="1419" w:y="370" w:anchorLock="1"/>
    </w:pPr>
    <w:rPr>
      <w:sz w:val="22"/>
    </w:rPr>
  </w:style>
  <w:style w:type="paragraph" w:customStyle="1" w:styleId="TableListBullet">
    <w:name w:val="Table List Bullet"/>
    <w:basedOn w:val="ListBullet"/>
    <w:rsid w:val="000B2D13"/>
    <w:pPr>
      <w:numPr>
        <w:numId w:val="12"/>
      </w:numPr>
    </w:pPr>
  </w:style>
  <w:style w:type="paragraph" w:styleId="PlainText">
    <w:name w:val="Plain Text"/>
    <w:basedOn w:val="Normal"/>
    <w:link w:val="PlainTextChar"/>
    <w:rsid w:val="000B2D13"/>
    <w:rPr>
      <w:sz w:val="20"/>
    </w:rPr>
  </w:style>
  <w:style w:type="character" w:customStyle="1" w:styleId="PlainTextChar">
    <w:name w:val="Plain Text Char"/>
    <w:basedOn w:val="DefaultParagraphFont"/>
    <w:link w:val="PlainText"/>
    <w:rsid w:val="000B2D13"/>
    <w:rPr>
      <w:rFonts w:ascii="Courier New" w:eastAsia="Times New Roman" w:hAnsi="Courier New" w:cs="Times New Roman"/>
      <w:sz w:val="20"/>
      <w:szCs w:val="20"/>
      <w:lang w:eastAsia="en-US"/>
    </w:rPr>
  </w:style>
  <w:style w:type="character" w:customStyle="1" w:styleId="MenuOption">
    <w:name w:val="Menu Option"/>
    <w:basedOn w:val="DefaultParagraphFont"/>
    <w:rsid w:val="000B2D13"/>
    <w:rPr>
      <w:b/>
      <w:smallCaps/>
    </w:rPr>
  </w:style>
  <w:style w:type="paragraph" w:customStyle="1" w:styleId="TableListNumber">
    <w:name w:val="Table List Number"/>
    <w:basedOn w:val="ListNumber"/>
    <w:rsid w:val="000B2D13"/>
    <w:pPr>
      <w:numPr>
        <w:numId w:val="0"/>
      </w:numPr>
    </w:pPr>
  </w:style>
  <w:style w:type="paragraph" w:styleId="TOC4">
    <w:name w:val="toc 4"/>
    <w:basedOn w:val="TOCBase"/>
    <w:next w:val="Normal"/>
    <w:semiHidden/>
    <w:rsid w:val="000B2D13"/>
    <w:pPr>
      <w:tabs>
        <w:tab w:val="right" w:leader="dot" w:pos="9071"/>
      </w:tabs>
      <w:ind w:left="1701"/>
    </w:pPr>
  </w:style>
  <w:style w:type="paragraph" w:customStyle="1" w:styleId="ListAlpha">
    <w:name w:val="List Alpha"/>
    <w:basedOn w:val="List"/>
    <w:rsid w:val="000B2D13"/>
    <w:pPr>
      <w:numPr>
        <w:numId w:val="9"/>
      </w:numPr>
    </w:pPr>
  </w:style>
  <w:style w:type="paragraph" w:customStyle="1" w:styleId="ListAlpha2">
    <w:name w:val="List Alpha 2"/>
    <w:basedOn w:val="List2"/>
    <w:rsid w:val="000B2D13"/>
    <w:pPr>
      <w:numPr>
        <w:numId w:val="8"/>
      </w:numPr>
    </w:pPr>
  </w:style>
  <w:style w:type="paragraph" w:styleId="List2">
    <w:name w:val="List 2"/>
    <w:basedOn w:val="BodyText"/>
    <w:rsid w:val="000B2D13"/>
    <w:pPr>
      <w:tabs>
        <w:tab w:val="left" w:pos="680"/>
      </w:tabs>
      <w:spacing w:before="60" w:after="60"/>
      <w:ind w:left="680" w:hanging="340"/>
    </w:pPr>
  </w:style>
  <w:style w:type="paragraph" w:styleId="List3">
    <w:name w:val="List 3"/>
    <w:basedOn w:val="BodyText"/>
    <w:rsid w:val="000B2D13"/>
    <w:pPr>
      <w:tabs>
        <w:tab w:val="left" w:pos="1021"/>
      </w:tabs>
      <w:spacing w:before="60" w:after="60"/>
      <w:ind w:left="1020" w:hanging="340"/>
    </w:pPr>
  </w:style>
  <w:style w:type="paragraph" w:styleId="List4">
    <w:name w:val="List 4"/>
    <w:basedOn w:val="BodyText"/>
    <w:rsid w:val="000B2D13"/>
    <w:pPr>
      <w:tabs>
        <w:tab w:val="left" w:pos="1361"/>
      </w:tabs>
      <w:spacing w:before="60" w:after="60"/>
      <w:ind w:left="1361" w:hanging="340"/>
    </w:pPr>
  </w:style>
  <w:style w:type="paragraph" w:styleId="List5">
    <w:name w:val="List 5"/>
    <w:basedOn w:val="BodyText"/>
    <w:rsid w:val="000B2D13"/>
    <w:pPr>
      <w:tabs>
        <w:tab w:val="left" w:pos="1701"/>
      </w:tabs>
      <w:spacing w:before="60" w:after="60"/>
      <w:ind w:left="1701" w:hanging="340"/>
    </w:pPr>
  </w:style>
  <w:style w:type="paragraph" w:styleId="ListBullet3">
    <w:name w:val="List Bullet 3"/>
    <w:basedOn w:val="List3"/>
    <w:rsid w:val="000B2D13"/>
    <w:pPr>
      <w:numPr>
        <w:numId w:val="15"/>
      </w:numPr>
      <w:tabs>
        <w:tab w:val="clear" w:pos="1021"/>
      </w:tabs>
      <w:ind w:left="1037" w:hanging="357"/>
    </w:pPr>
  </w:style>
  <w:style w:type="paragraph" w:styleId="ListBullet4">
    <w:name w:val="List Bullet 4"/>
    <w:basedOn w:val="List4"/>
    <w:rsid w:val="000B2D13"/>
    <w:pPr>
      <w:numPr>
        <w:numId w:val="3"/>
      </w:numPr>
    </w:pPr>
  </w:style>
  <w:style w:type="paragraph" w:styleId="ListBullet5">
    <w:name w:val="List Bullet 5"/>
    <w:basedOn w:val="List5"/>
    <w:rsid w:val="000B2D13"/>
    <w:pPr>
      <w:numPr>
        <w:numId w:val="4"/>
      </w:numPr>
    </w:pPr>
  </w:style>
  <w:style w:type="paragraph" w:styleId="ListContinue2">
    <w:name w:val="List Continue 2"/>
    <w:basedOn w:val="List2"/>
    <w:rsid w:val="000B2D13"/>
    <w:pPr>
      <w:ind w:firstLine="0"/>
    </w:pPr>
  </w:style>
  <w:style w:type="paragraph" w:styleId="ListContinue3">
    <w:name w:val="List Continue 3"/>
    <w:basedOn w:val="List3"/>
    <w:rsid w:val="000B2D13"/>
    <w:pPr>
      <w:ind w:left="1021" w:firstLine="0"/>
    </w:pPr>
  </w:style>
  <w:style w:type="paragraph" w:styleId="ListContinue4">
    <w:name w:val="List Continue 4"/>
    <w:basedOn w:val="List4"/>
    <w:rsid w:val="000B2D13"/>
    <w:pPr>
      <w:ind w:firstLine="0"/>
    </w:pPr>
  </w:style>
  <w:style w:type="paragraph" w:styleId="ListContinue5">
    <w:name w:val="List Continue 5"/>
    <w:basedOn w:val="List5"/>
    <w:rsid w:val="000B2D13"/>
    <w:pPr>
      <w:ind w:firstLine="0"/>
    </w:pPr>
  </w:style>
  <w:style w:type="paragraph" w:styleId="ListNumber3">
    <w:name w:val="List Number 3"/>
    <w:basedOn w:val="List3"/>
    <w:rsid w:val="000B2D13"/>
    <w:pPr>
      <w:numPr>
        <w:numId w:val="5"/>
      </w:numPr>
    </w:pPr>
  </w:style>
  <w:style w:type="paragraph" w:styleId="ListNumber4">
    <w:name w:val="List Number 4"/>
    <w:basedOn w:val="List4"/>
    <w:rsid w:val="000B2D13"/>
    <w:pPr>
      <w:numPr>
        <w:numId w:val="6"/>
      </w:numPr>
    </w:pPr>
  </w:style>
  <w:style w:type="paragraph" w:styleId="ListNumber5">
    <w:name w:val="List Number 5"/>
    <w:basedOn w:val="List5"/>
    <w:rsid w:val="000B2D13"/>
    <w:pPr>
      <w:numPr>
        <w:numId w:val="7"/>
      </w:numPr>
    </w:pPr>
  </w:style>
  <w:style w:type="paragraph" w:styleId="BlockText">
    <w:name w:val="Block Text"/>
    <w:basedOn w:val="Normal"/>
    <w:rsid w:val="000B2D13"/>
    <w:pPr>
      <w:spacing w:after="120"/>
      <w:ind w:left="1440" w:right="1440"/>
    </w:pPr>
  </w:style>
  <w:style w:type="character" w:customStyle="1" w:styleId="Subscript">
    <w:name w:val="Subscript"/>
    <w:basedOn w:val="DefaultParagraphFont"/>
    <w:rsid w:val="000B2D13"/>
    <w:rPr>
      <w:sz w:val="16"/>
      <w:vertAlign w:val="subscript"/>
    </w:rPr>
  </w:style>
  <w:style w:type="character" w:customStyle="1" w:styleId="Superscript">
    <w:name w:val="Superscript"/>
    <w:basedOn w:val="DefaultParagraphFont"/>
    <w:rsid w:val="000B2D13"/>
    <w:rPr>
      <w:sz w:val="16"/>
      <w:vertAlign w:val="superscript"/>
    </w:rPr>
  </w:style>
  <w:style w:type="character" w:customStyle="1" w:styleId="Symbols">
    <w:name w:val="Symbols"/>
    <w:basedOn w:val="DefaultParagraphFont"/>
    <w:rsid w:val="000B2D13"/>
    <w:rPr>
      <w:rFonts w:ascii="Symbol" w:hAnsi="Symbol"/>
    </w:rPr>
  </w:style>
  <w:style w:type="character" w:customStyle="1" w:styleId="MenuOptions">
    <w:name w:val="Menu Options"/>
    <w:basedOn w:val="DefaultParagraphFont"/>
    <w:rsid w:val="000B2D13"/>
    <w:rPr>
      <w:rFonts w:ascii="Arial Narrow" w:hAnsi="Arial Narrow"/>
      <w:smallCaps/>
    </w:rPr>
  </w:style>
  <w:style w:type="character" w:customStyle="1" w:styleId="Buttons">
    <w:name w:val="Buttons"/>
    <w:basedOn w:val="DefaultParagraphFont"/>
    <w:rsid w:val="000B2D13"/>
    <w:rPr>
      <w:b/>
    </w:rPr>
  </w:style>
  <w:style w:type="character" w:customStyle="1" w:styleId="Underlined">
    <w:name w:val="Underlined"/>
    <w:basedOn w:val="DefaultParagraphFont"/>
    <w:rsid w:val="000B2D13"/>
    <w:rPr>
      <w:u w:val="single"/>
    </w:rPr>
  </w:style>
  <w:style w:type="paragraph" w:customStyle="1" w:styleId="TableBodyTextRight">
    <w:name w:val="Table Body Text Right"/>
    <w:basedOn w:val="TableBodyText"/>
    <w:rsid w:val="000B2D13"/>
    <w:pPr>
      <w:widowControl w:val="0"/>
      <w:autoSpaceDE w:val="0"/>
      <w:autoSpaceDN w:val="0"/>
      <w:adjustRightInd w:val="0"/>
      <w:jc w:val="right"/>
    </w:pPr>
    <w:rPr>
      <w:rFonts w:cs="Arial"/>
      <w:szCs w:val="18"/>
    </w:rPr>
  </w:style>
  <w:style w:type="paragraph" w:customStyle="1" w:styleId="CopyrightText">
    <w:name w:val="Copyright Text"/>
    <w:basedOn w:val="BodyText"/>
    <w:rsid w:val="000B2D13"/>
    <w:rPr>
      <w:sz w:val="18"/>
    </w:rPr>
  </w:style>
  <w:style w:type="paragraph" w:customStyle="1" w:styleId="BodySmallRight">
    <w:name w:val="Body Small Right"/>
    <w:basedOn w:val="BodyTextRight"/>
    <w:rsid w:val="000B2D13"/>
    <w:rPr>
      <w:sz w:val="18"/>
      <w:szCs w:val="18"/>
    </w:rPr>
  </w:style>
  <w:style w:type="paragraph" w:customStyle="1" w:styleId="MarginEdition">
    <w:name w:val="Margin Edition"/>
    <w:basedOn w:val="MarginNote"/>
    <w:rsid w:val="000B2D13"/>
    <w:pPr>
      <w:spacing w:before="0" w:after="0"/>
    </w:pPr>
    <w:rPr>
      <w:rFonts w:ascii="Times New Roman" w:hAnsi="Times New Roman"/>
      <w:color w:val="999999"/>
    </w:rPr>
  </w:style>
  <w:style w:type="paragraph" w:customStyle="1" w:styleId="Spacer">
    <w:name w:val="Spacer"/>
    <w:basedOn w:val="Normal"/>
    <w:rsid w:val="000B2D13"/>
    <w:rPr>
      <w:sz w:val="2"/>
      <w:szCs w:val="2"/>
    </w:rPr>
  </w:style>
  <w:style w:type="character" w:customStyle="1" w:styleId="Small">
    <w:name w:val="Small"/>
    <w:basedOn w:val="DefaultParagraphFont"/>
    <w:rsid w:val="000B2D13"/>
    <w:rPr>
      <w:sz w:val="16"/>
    </w:rPr>
  </w:style>
  <w:style w:type="paragraph" w:customStyle="1" w:styleId="WideTable">
    <w:name w:val="Wide Table"/>
    <w:basedOn w:val="Normal"/>
    <w:rsid w:val="000B2D13"/>
    <w:pPr>
      <w:ind w:left="-1418"/>
    </w:pPr>
    <w:rPr>
      <w:sz w:val="2"/>
      <w:szCs w:val="2"/>
    </w:rPr>
  </w:style>
  <w:style w:type="character" w:styleId="PageNumber">
    <w:name w:val="page number"/>
    <w:basedOn w:val="DefaultParagraphFont"/>
    <w:rsid w:val="000B2D13"/>
  </w:style>
  <w:style w:type="paragraph" w:styleId="Quote">
    <w:name w:val="Quote"/>
    <w:basedOn w:val="Heading1"/>
    <w:link w:val="QuoteChar"/>
    <w:qFormat/>
    <w:rsid w:val="000B2D13"/>
    <w:rPr>
      <w:b w:val="0"/>
      <w:sz w:val="72"/>
      <w:szCs w:val="72"/>
      <w:lang w:val="en-NZ"/>
    </w:rPr>
  </w:style>
  <w:style w:type="character" w:customStyle="1" w:styleId="QuoteChar">
    <w:name w:val="Quote Char"/>
    <w:basedOn w:val="DefaultParagraphFont"/>
    <w:link w:val="Quote"/>
    <w:rsid w:val="000B2D13"/>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0B2D13"/>
    <w:pPr>
      <w:pageBreakBefore/>
    </w:pPr>
  </w:style>
  <w:style w:type="paragraph" w:customStyle="1" w:styleId="Border">
    <w:name w:val="Border"/>
    <w:basedOn w:val="Normal"/>
    <w:qFormat/>
    <w:rsid w:val="000B2D13"/>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0B2D13"/>
    <w:rPr>
      <w:b/>
      <w:bCs/>
      <w:i/>
      <w:iCs/>
      <w:color w:val="auto"/>
    </w:rPr>
  </w:style>
  <w:style w:type="paragraph" w:styleId="IntenseQuote">
    <w:name w:val="Intense Quote"/>
    <w:basedOn w:val="Normal"/>
    <w:next w:val="Normal"/>
    <w:link w:val="IntenseQuoteChar"/>
    <w:uiPriority w:val="30"/>
    <w:qFormat/>
    <w:rsid w:val="000B2D13"/>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0B2D13"/>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0B2D13"/>
    <w:rPr>
      <w:smallCaps/>
      <w:color w:val="auto"/>
      <w:u w:val="single"/>
    </w:rPr>
  </w:style>
  <w:style w:type="character" w:styleId="IntenseReference">
    <w:name w:val="Intense Reference"/>
    <w:basedOn w:val="DefaultParagraphFont"/>
    <w:uiPriority w:val="32"/>
    <w:qFormat/>
    <w:rsid w:val="000B2D13"/>
    <w:rPr>
      <w:b/>
      <w:bCs/>
      <w:smallCaps/>
      <w:color w:val="auto"/>
      <w:spacing w:val="5"/>
      <w:u w:val="single"/>
    </w:rPr>
  </w:style>
  <w:style w:type="paragraph" w:customStyle="1" w:styleId="2ColumnHeading">
    <w:name w:val="2Column Heading"/>
    <w:basedOn w:val="BodyText"/>
    <w:qFormat/>
    <w:rsid w:val="000B2D13"/>
    <w:pPr>
      <w:spacing w:after="60"/>
      <w:ind w:left="-2268"/>
    </w:pPr>
    <w:rPr>
      <w:b/>
    </w:rPr>
  </w:style>
  <w:style w:type="paragraph" w:customStyle="1" w:styleId="Heading1TOC">
    <w:name w:val="Heading1 TOC"/>
    <w:basedOn w:val="Normal"/>
    <w:qFormat/>
    <w:rsid w:val="000B2D13"/>
    <w:pPr>
      <w:spacing w:before="240" w:after="120"/>
    </w:pPr>
    <w:rPr>
      <w:rFonts w:ascii="Times New Roman" w:hAnsi="Times New Roman"/>
      <w:b/>
      <w:sz w:val="32"/>
    </w:rPr>
  </w:style>
  <w:style w:type="paragraph" w:customStyle="1" w:styleId="Heading2TOC">
    <w:name w:val="Heading2 TOC"/>
    <w:basedOn w:val="Normal"/>
    <w:qFormat/>
    <w:rsid w:val="000B2D13"/>
    <w:pPr>
      <w:spacing w:before="240" w:after="60"/>
    </w:pPr>
    <w:rPr>
      <w:rFonts w:ascii="Times New Roman" w:hAnsi="Times New Roman"/>
      <w:b/>
      <w:sz w:val="28"/>
    </w:rPr>
  </w:style>
  <w:style w:type="character" w:customStyle="1" w:styleId="Underline">
    <w:name w:val="Underline"/>
    <w:basedOn w:val="DefaultParagraphFont"/>
    <w:qFormat/>
    <w:rsid w:val="000B2D13"/>
    <w:rPr>
      <w:u w:val="single"/>
    </w:rPr>
  </w:style>
  <w:style w:type="paragraph" w:styleId="BalloonText">
    <w:name w:val="Balloon Text"/>
    <w:basedOn w:val="Normal"/>
    <w:link w:val="BalloonTextChar"/>
    <w:rsid w:val="000B2D13"/>
    <w:rPr>
      <w:rFonts w:ascii="Tahoma" w:hAnsi="Tahoma" w:cs="Tahoma"/>
      <w:sz w:val="16"/>
      <w:szCs w:val="16"/>
    </w:rPr>
  </w:style>
  <w:style w:type="character" w:customStyle="1" w:styleId="BalloonTextChar">
    <w:name w:val="Balloon Text Char"/>
    <w:basedOn w:val="DefaultParagraphFont"/>
    <w:link w:val="BalloonText"/>
    <w:rsid w:val="000B2D13"/>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0B2D13"/>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0B2D13"/>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0B2D13"/>
    <w:rPr>
      <w:b/>
      <w:color w:val="660033"/>
      <w:spacing w:val="0"/>
    </w:rPr>
  </w:style>
  <w:style w:type="paragraph" w:customStyle="1" w:styleId="Nameditemlist">
    <w:name w:val="Named item list"/>
    <w:basedOn w:val="BodyText"/>
    <w:qFormat/>
    <w:rsid w:val="000B2D13"/>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1663</Words>
  <Characters>10300</Characters>
  <Application>Microsoft Office Word</Application>
  <DocSecurity>0</DocSecurity>
  <Lines>324</Lines>
  <Paragraphs>133</Paragraphs>
  <ScaleCrop>false</ScaleCrop>
  <Company>Author-it Software Corporation Ltd.</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HLTAHW409B Deliver health promotion programs for Aboriginal and/or Torres Strait Islander communities</dc:title>
  <dc:subject>Approved</dc:subject>
  <dc:creator>Community Services and Health Industry Skills Council</dc:creator>
  <cp:keywords>Release: 1</cp:keywords>
  <dc:description>Copyright © 1996-2007 Author-it Software Corporation Ltd., all rights reserved.</dc:description>
  <cp:lastModifiedBy>TPCMS</cp:lastModifiedBy>
  <cp:revision>3</cp:revision>
  <dcterms:created xsi:type="dcterms:W3CDTF">2012-10-05T11:26:00Z</dcterms:created>
  <dcterms:modified xsi:type="dcterms:W3CDTF">2012-10-05T11:26:00Z</dcterms:modified>
</cp:coreProperties>
</file>