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50" w:rsidRDefault="00523B50" w:rsidP="00523B50">
      <w:pPr>
        <w:pStyle w:val="Title"/>
      </w:pPr>
      <w:fldSimple w:instr=" TITLE   \* MERGEFORMAT ">
        <w:r>
          <w:t>HLTHPS009 Perform peripheral intravenous cannulation</w:t>
        </w:r>
      </w:fldSimple>
    </w:p>
    <w:p w:rsidR="00523B50" w:rsidRDefault="00523B50" w:rsidP="00523B50">
      <w:pPr>
        <w:pStyle w:val="Version"/>
        <w:sectPr w:rsidR="00523B50" w:rsidSect="005A54D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A54D6" w:rsidRDefault="00523B50" w:rsidP="005A54D6">
      <w:pPr>
        <w:pStyle w:val="SuperHeading"/>
      </w:pPr>
      <w:r w:rsidRPr="005A54D6">
        <w:lastRenderedPageBreak/>
        <w:t>HLTHPS009 Perform peripheral intravenous cannulation</w:t>
      </w:r>
    </w:p>
    <w:p w:rsidR="00000000" w:rsidRPr="005A54D6" w:rsidRDefault="00523B50" w:rsidP="005A54D6">
      <w:pPr>
        <w:pStyle w:val="Heading1"/>
      </w:pPr>
      <w:bookmarkStart w:id="1" w:name="O_743655"/>
      <w:bookmarkEnd w:id="1"/>
      <w:r w:rsidRPr="005A54D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5A54D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3B50" w:rsidP="005A54D6">
            <w:pPr>
              <w:pStyle w:val="BodyText"/>
              <w:rPr>
                <w:lang w:val="en-NZ"/>
              </w:rPr>
            </w:pPr>
            <w:r w:rsidRPr="005A54D6">
              <w:rPr>
                <w:rStyle w:val="SpecialBold"/>
              </w:rPr>
              <w:t>Comments</w:t>
            </w:r>
          </w:p>
        </w:tc>
      </w:tr>
      <w:tr w:rsidR="00000000" w:rsidRPr="005A54D6" w:rsidTr="005A54D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3B50" w:rsidP="005A54D6">
            <w:pPr>
              <w:pStyle w:val="BodyText"/>
              <w:rPr>
                <w:lang w:val="en-NZ"/>
              </w:rPr>
            </w:pPr>
            <w:r w:rsidRPr="005A54D6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t xml:space="preserve">This version was released in </w:t>
            </w:r>
            <w:r w:rsidRPr="005A54D6">
              <w:rPr>
                <w:rStyle w:val="Emphasis"/>
              </w:rPr>
              <w:t>HLT Health Training Package release 2.0</w:t>
            </w:r>
            <w:r w:rsidRPr="005A54D6">
              <w:t xml:space="preserve"> and meets the requirements of the 2012 Standards for Training Packages.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Significant changes to the elements and performance crite</w:t>
            </w:r>
            <w:r w:rsidRPr="005A54D6">
              <w:t>ria. New evidence requirements for assessment including volume and frequency requirements.</w:t>
            </w:r>
          </w:p>
        </w:tc>
      </w:tr>
    </w:tbl>
    <w:p w:rsidR="00523B50" w:rsidRDefault="00523B50" w:rsidP="005A54D6">
      <w:pPr>
        <w:pStyle w:val="BodyText"/>
      </w:pPr>
    </w:p>
    <w:p w:rsidR="00523B50" w:rsidRDefault="00523B50" w:rsidP="005A54D6">
      <w:pPr>
        <w:pStyle w:val="BodyText"/>
      </w:pPr>
    </w:p>
    <w:p w:rsidR="00000000" w:rsidRPr="005A54D6" w:rsidRDefault="00523B50" w:rsidP="005A54D6">
      <w:pPr>
        <w:pStyle w:val="Heading1"/>
      </w:pPr>
      <w:bookmarkStart w:id="2" w:name="O_743656"/>
      <w:bookmarkEnd w:id="2"/>
      <w:r w:rsidRPr="005A54D6">
        <w:t>Application</w:t>
      </w:r>
    </w:p>
    <w:p w:rsidR="00000000" w:rsidRPr="005A54D6" w:rsidRDefault="00523B50" w:rsidP="00523B50">
      <w:pPr>
        <w:pStyle w:val="BodyText"/>
      </w:pPr>
      <w:r w:rsidRPr="005A54D6">
        <w:t xml:space="preserve">This unit describes the skills and knowledge required to perform peripheral intravenous cannulation on clients. </w:t>
      </w:r>
    </w:p>
    <w:p w:rsidR="00000000" w:rsidRPr="005A54D6" w:rsidRDefault="00523B50" w:rsidP="00523B50">
      <w:pPr>
        <w:pStyle w:val="BodyText"/>
      </w:pPr>
      <w:r w:rsidRPr="005A54D6">
        <w:t>This unit applies t</w:t>
      </w:r>
      <w:r w:rsidRPr="005A54D6">
        <w:t>o registered enrolled nurses, registered Aboriginal and/or Torres Strait Islander health practitioners and emergency workers for whom peripheral intravenous cannulation is part of the job role. They may be working in hospitals, primary health care in rural</w:t>
      </w:r>
      <w:r w:rsidRPr="005A54D6">
        <w:t xml:space="preserve"> remote locations, pathology services, out-of-hospital settings or in other allied health care environments.</w:t>
      </w:r>
    </w:p>
    <w:p w:rsidR="00000000" w:rsidRPr="005A54D6" w:rsidRDefault="00523B50" w:rsidP="00523B50">
      <w:pPr>
        <w:pStyle w:val="BodyText"/>
      </w:pPr>
      <w:r w:rsidRPr="005A54D6">
        <w:t>The extent of the practitioner’s role for peripheral intravenous cannulation may be subject to state/territory legislation and organisation policy</w:t>
      </w:r>
      <w:r w:rsidRPr="005A54D6">
        <w:t>, and competency should be demonstrated within the context of applicable legislation and organisation practice.</w:t>
      </w:r>
    </w:p>
    <w:p w:rsidR="00000000" w:rsidRPr="00523B50" w:rsidRDefault="00523B50" w:rsidP="00523B50">
      <w:pPr>
        <w:pStyle w:val="BodyText"/>
        <w:rPr>
          <w:i/>
        </w:rPr>
      </w:pPr>
      <w:r w:rsidRPr="00523B50">
        <w:rPr>
          <w:rStyle w:val="Emphasis"/>
        </w:rPr>
        <w:t>The skills in this unit must be applied in accordance with Commonwealth and State/Territory legislation, Australian/New Zealand standards and i</w:t>
      </w:r>
      <w:r w:rsidRPr="00523B50">
        <w:rPr>
          <w:rStyle w:val="Emphasis"/>
        </w:rPr>
        <w:t>ndustry codes of practice.</w:t>
      </w:r>
    </w:p>
    <w:p w:rsidR="00000000" w:rsidRPr="005A54D6" w:rsidRDefault="00523B50" w:rsidP="005A54D6">
      <w:pPr>
        <w:pStyle w:val="Heading1"/>
      </w:pPr>
      <w:bookmarkStart w:id="3" w:name="O_743660"/>
      <w:bookmarkEnd w:id="3"/>
      <w:r w:rsidRPr="005A54D6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670"/>
      </w:tblGrid>
      <w:tr w:rsidR="00000000" w:rsidTr="005A54D6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rPr>
                <w:rStyle w:val="SpecialBold"/>
              </w:rPr>
              <w:t>ELEMENT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rPr>
                <w:rStyle w:val="Emphasis"/>
              </w:rPr>
              <w:t>Elements define the essential outcomes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rPr>
                <w:rStyle w:val="SpecialBold"/>
              </w:rPr>
              <w:t>PERFORMANCE CRITERIA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rPr>
                <w:rStyle w:val="Emphasis"/>
              </w:rPr>
              <w:t>Performance criteria describe the performance needed to demonstrate achievement of the element</w:t>
            </w:r>
          </w:p>
          <w:p w:rsidR="00000000" w:rsidRDefault="00523B50" w:rsidP="005A54D6">
            <w:pPr>
              <w:pStyle w:val="BodyText"/>
              <w:rPr>
                <w:lang w:val="en-NZ"/>
              </w:rPr>
            </w:pPr>
          </w:p>
        </w:tc>
      </w:tr>
      <w:tr w:rsidR="00000000" w:rsidRPr="005A54D6" w:rsidTr="005A54D6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3B50" w:rsidP="005A54D6">
            <w:pPr>
              <w:pStyle w:val="BodyText"/>
              <w:rPr>
                <w:lang w:val="en-NZ"/>
              </w:rPr>
            </w:pPr>
            <w:r w:rsidRPr="005A54D6">
              <w:lastRenderedPageBreak/>
              <w:t xml:space="preserve">1. Prepare for peripheral intravenous cannulation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t xml:space="preserve">1.1 Correctly identify client and authorised request/s for peripheral intravenous cannulation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 xml:space="preserve">1.2 Explain procedure to client and obtain consent and check for allergies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1.3 Identify any additional specif</w:t>
            </w:r>
            <w:r w:rsidRPr="005A54D6">
              <w:t xml:space="preserve">ic requests/tests relevant to the procedure before proceeding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1.4 Ensure client is correctly and comfortably positioned to access the veins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1.5 Work with multidisciplinary team to coordinate activities to ensure they do not impact on peripheral vascular c</w:t>
            </w:r>
            <w:r w:rsidRPr="005A54D6">
              <w:t xml:space="preserve">annulation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 xml:space="preserve">1.6 Discuss with parent/carer/staff member appropriate holding and/or distraction technique for a client during cannulation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1.7 Assemble and prepare peripheral intravenous cannulation equipment using standard precautions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1.8 Apply tourniquet/b</w:t>
            </w:r>
            <w:r w:rsidRPr="005A54D6">
              <w:t>lood pressure cuff to limb, palpate for identification of suitable vein and then release tourniquet/blood pressure cuff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1.9 Prepare and clean insertion site for cannulation</w:t>
            </w:r>
          </w:p>
        </w:tc>
      </w:tr>
    </w:tbl>
    <w:p w:rsidR="00000000" w:rsidRPr="005A54D6" w:rsidRDefault="00523B50" w:rsidP="005A54D6">
      <w:pPr>
        <w:pStyle w:val="BodyText"/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4"/>
      </w:tblGrid>
      <w:tr w:rsidR="00000000" w:rsidTr="00523B5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3B50" w:rsidP="005A54D6">
            <w:pPr>
              <w:pStyle w:val="BodyText"/>
              <w:rPr>
                <w:lang w:val="en-NZ"/>
              </w:rPr>
            </w:pPr>
            <w:r w:rsidRPr="005A54D6">
              <w:t>2. Perform peripheral intravenous cannulation</w:t>
            </w: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t>2.1 Identify own work health and sa</w:t>
            </w:r>
            <w:r w:rsidRPr="005A54D6">
              <w:t>fety (WHS) risks associated with poor posture during procedure and adjust client’s position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2.2 Use aseptic technique to insert peripheral intravenous cannula in accordance with manufacturer’s instructions and organisation policies and procedures</w:t>
            </w:r>
          </w:p>
          <w:p w:rsidR="00000000" w:rsidRDefault="00523B50" w:rsidP="005A54D6">
            <w:pPr>
              <w:pStyle w:val="BodyText"/>
              <w:rPr>
                <w:lang w:val="en-NZ"/>
              </w:rPr>
            </w:pPr>
            <w:r w:rsidRPr="005A54D6">
              <w:t xml:space="preserve">2.3 Respond to complications in accordance with organisation policy and procedures and refer client to supervisor </w:t>
            </w:r>
          </w:p>
        </w:tc>
      </w:tr>
      <w:tr w:rsidR="00000000" w:rsidTr="00523B5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3B50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t>2.4 Dress the site with visibility of cannula entry and secure cannula to limb.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2.5 Date the cannula in-situ dressing site, ensure client i</w:t>
            </w:r>
            <w:r w:rsidRPr="005A54D6">
              <w:t xml:space="preserve">s left comfortable and is provided with relevant information and instructions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2.6 Dispose of wastes, taking into account opportunities to address waste minimisation, environmental responsibility and sustainable practice issues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>2.7 Document in client’s hea</w:t>
            </w:r>
            <w:r w:rsidRPr="005A54D6">
              <w:t xml:space="preserve">lth information the site of </w:t>
            </w:r>
            <w:r w:rsidRPr="005A54D6">
              <w:lastRenderedPageBreak/>
              <w:t>peripheral intravenous cannulation and number of attempts</w:t>
            </w:r>
          </w:p>
          <w:p w:rsidR="00000000" w:rsidRDefault="00523B50" w:rsidP="005A54D6">
            <w:pPr>
              <w:pStyle w:val="ListContinue"/>
              <w:rPr>
                <w:lang w:val="en-NZ"/>
              </w:rPr>
            </w:pPr>
          </w:p>
        </w:tc>
      </w:tr>
      <w:tr w:rsidR="00000000" w:rsidRPr="005A54D6" w:rsidTr="00523B5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lastRenderedPageBreak/>
              <w:t>3. Monitor peripheral intravenous cannula in-situ</w:t>
            </w:r>
          </w:p>
          <w:p w:rsidR="00000000" w:rsidRDefault="00523B50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A54D6" w:rsidRDefault="00523B50" w:rsidP="005A54D6">
            <w:pPr>
              <w:pStyle w:val="BodyText"/>
            </w:pPr>
            <w:r w:rsidRPr="005A54D6">
              <w:t>3.1 Assess site and cannula patency regularly in accordance with organisation procedures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 xml:space="preserve">3.2 Refer to supervisor or </w:t>
            </w:r>
            <w:r w:rsidRPr="005A54D6">
              <w:t xml:space="preserve">authorised personnel observed indications for cannula removal </w:t>
            </w:r>
          </w:p>
          <w:p w:rsidR="00000000" w:rsidRPr="005A54D6" w:rsidRDefault="00523B50" w:rsidP="005A54D6">
            <w:pPr>
              <w:pStyle w:val="BodyText"/>
            </w:pPr>
            <w:r w:rsidRPr="005A54D6">
              <w:t xml:space="preserve">3.3 Upon authorised request, remove intravenous cannula, cover insertion site and check bleeding has stopped </w:t>
            </w:r>
          </w:p>
          <w:p w:rsidR="00000000" w:rsidRPr="005A54D6" w:rsidRDefault="00523B50" w:rsidP="005A54D6">
            <w:pPr>
              <w:pStyle w:val="ListContinue"/>
            </w:pPr>
          </w:p>
        </w:tc>
      </w:tr>
    </w:tbl>
    <w:p w:rsidR="00523B50" w:rsidRDefault="00523B50" w:rsidP="005A54D6">
      <w:pPr>
        <w:pStyle w:val="ListContinue"/>
      </w:pPr>
    </w:p>
    <w:p w:rsidR="00523B50" w:rsidRDefault="00523B50" w:rsidP="005A54D6">
      <w:pPr>
        <w:pStyle w:val="ListContinue"/>
      </w:pPr>
    </w:p>
    <w:p w:rsidR="00000000" w:rsidRPr="005A54D6" w:rsidRDefault="00523B50" w:rsidP="005A54D6">
      <w:pPr>
        <w:pStyle w:val="Heading1"/>
      </w:pPr>
      <w:bookmarkStart w:id="4" w:name="O_743661"/>
      <w:bookmarkEnd w:id="4"/>
      <w:r w:rsidRPr="005A54D6">
        <w:t>Foundation Skills</w:t>
      </w:r>
    </w:p>
    <w:p w:rsidR="00000000" w:rsidRPr="00523B50" w:rsidRDefault="00523B50" w:rsidP="00523B50">
      <w:pPr>
        <w:pStyle w:val="BodyText"/>
        <w:rPr>
          <w:i/>
        </w:rPr>
      </w:pPr>
      <w:r w:rsidRPr="00523B50">
        <w:rPr>
          <w:rStyle w:val="Emphasis"/>
        </w:rPr>
        <w:t>The Foundation Skills describe those required skills (such as, language, literacy, numeracy and employment skills) that are essential to performance</w:t>
      </w:r>
    </w:p>
    <w:p w:rsidR="00523B50" w:rsidRDefault="00523B50" w:rsidP="00523B50">
      <w:pPr>
        <w:pStyle w:val="BodyText"/>
      </w:pPr>
      <w:r w:rsidRPr="005A54D6">
        <w:t>Foundation skills essential to performance are explicit in the performance criteria of this unit of compet</w:t>
      </w:r>
      <w:r w:rsidRPr="005A54D6">
        <w:t>ency.</w:t>
      </w:r>
    </w:p>
    <w:p w:rsidR="00000000" w:rsidRPr="005A54D6" w:rsidRDefault="00523B50" w:rsidP="005A54D6">
      <w:pPr>
        <w:pStyle w:val="Heading1"/>
      </w:pPr>
      <w:bookmarkStart w:id="5" w:name="O_743663"/>
      <w:bookmarkEnd w:id="5"/>
      <w:r w:rsidRPr="005A54D6">
        <w:t>Unit Mapping Information</w:t>
      </w:r>
    </w:p>
    <w:p w:rsidR="00000000" w:rsidRPr="005A54D6" w:rsidRDefault="00523B50" w:rsidP="00523B50">
      <w:pPr>
        <w:pStyle w:val="BodyText"/>
      </w:pPr>
      <w:r w:rsidRPr="005A54D6">
        <w:t>No equivalent unit.</w:t>
      </w:r>
    </w:p>
    <w:p w:rsidR="00000000" w:rsidRPr="005A54D6" w:rsidRDefault="00523B50" w:rsidP="005A54D6">
      <w:pPr>
        <w:pStyle w:val="Heading1"/>
      </w:pPr>
      <w:bookmarkStart w:id="6" w:name="O_743670"/>
      <w:bookmarkEnd w:id="6"/>
      <w:r w:rsidRPr="005A54D6">
        <w:t>Links</w:t>
      </w:r>
    </w:p>
    <w:p w:rsidR="00000000" w:rsidRPr="005A54D6" w:rsidRDefault="00523B50" w:rsidP="00523B50">
      <w:pPr>
        <w:pStyle w:val="BodyText"/>
      </w:pPr>
      <w:r w:rsidRPr="005A54D6">
        <w:t xml:space="preserve">Companion Volume implementation guides are found in VETNet - </w:t>
      </w:r>
      <w:hyperlink r:id="rId13" w:history="1">
        <w:r w:rsidRPr="00DE0D24">
          <w:rPr>
            <w:rStyle w:val="Hyperlink"/>
          </w:rPr>
          <w:t>https://vetnet.gov.au/Pages/TrainingDocs.aspx?q=ced1390f-48d9-4ab0-bd50-b015e5485705</w:t>
        </w:r>
      </w:hyperlink>
    </w:p>
    <w:p w:rsidR="00000000" w:rsidRPr="005A54D6" w:rsidRDefault="00523B50" w:rsidP="005A54D6"/>
    <w:sectPr w:rsidR="00000000" w:rsidRPr="005A54D6" w:rsidSect="005A54D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4D6" w:rsidRDefault="005A54D6" w:rsidP="005A54D6">
      <w:r>
        <w:separator/>
      </w:r>
    </w:p>
  </w:endnote>
  <w:endnote w:type="continuationSeparator" w:id="0">
    <w:p w:rsidR="005A54D6" w:rsidRDefault="005A54D6" w:rsidP="005A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D6" w:rsidRDefault="005A54D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D6" w:rsidRPr="00523B50" w:rsidRDefault="005A54D6" w:rsidP="00523B5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D6" w:rsidRDefault="005A54D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50" w:rsidRDefault="00523B50" w:rsidP="005A54D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23B50" w:rsidRDefault="00523B50" w:rsidP="005A54D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523B50" w:rsidRDefault="00523B50" w:rsidP="005A54D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4D6" w:rsidRDefault="005A54D6" w:rsidP="005A54D6">
      <w:r>
        <w:separator/>
      </w:r>
    </w:p>
  </w:footnote>
  <w:footnote w:type="continuationSeparator" w:id="0">
    <w:p w:rsidR="005A54D6" w:rsidRDefault="005A54D6" w:rsidP="005A5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D6" w:rsidRDefault="005A54D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50" w:rsidRDefault="00523B5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8069F73" wp14:editId="312008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A54D6" w:rsidRPr="00523B50" w:rsidRDefault="005A54D6" w:rsidP="00523B5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D6" w:rsidRDefault="005A54D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50" w:rsidRPr="002D2AF8" w:rsidRDefault="00523B50" w:rsidP="005A54D6">
    <w:pPr>
      <w:pStyle w:val="Header"/>
      <w:framePr w:wrap="around"/>
    </w:pPr>
    <w:fldSimple w:instr=" TITLE   \* MERGEFORMAT ">
      <w:r>
        <w:t>HLTHPS009 Perform peripheral intravenous cannulation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523B50" w:rsidRDefault="00523B50" w:rsidP="005A54D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A54D6"/>
    <w:rsid w:val="00523B50"/>
    <w:rsid w:val="005A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 w:unhideWhenUsed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4D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A54D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A54D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A54D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A54D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A54D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A54D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A54D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A54D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A54D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A54D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A54D6"/>
  </w:style>
  <w:style w:type="character" w:customStyle="1" w:styleId="Heading1Char">
    <w:name w:val="Heading 1 Char"/>
    <w:basedOn w:val="DefaultParagraphFont"/>
    <w:link w:val="Heading1"/>
    <w:rsid w:val="005A54D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A54D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A54D6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5A54D6"/>
    <w:rPr>
      <w:b/>
      <w:spacing w:val="0"/>
    </w:rPr>
  </w:style>
  <w:style w:type="character" w:styleId="Emphasis">
    <w:name w:val="Emphasis"/>
    <w:basedOn w:val="DefaultParagraphFont"/>
    <w:qFormat/>
    <w:rsid w:val="005A54D6"/>
    <w:rPr>
      <w:i/>
    </w:rPr>
  </w:style>
  <w:style w:type="paragraph" w:customStyle="1" w:styleId="SuperHeading">
    <w:name w:val="SuperHeading"/>
    <w:basedOn w:val="Normal"/>
    <w:rsid w:val="005A54D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A54D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Continue">
    <w:name w:val="List Continue"/>
    <w:basedOn w:val="List"/>
    <w:rsid w:val="005A54D6"/>
    <w:pPr>
      <w:ind w:firstLine="0"/>
    </w:pPr>
  </w:style>
  <w:style w:type="character" w:customStyle="1" w:styleId="Heading2Char">
    <w:name w:val="Heading 2 Char"/>
    <w:basedOn w:val="DefaultParagraphFont"/>
    <w:link w:val="Heading2"/>
    <w:rsid w:val="005A54D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A54D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A54D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A54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A54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A54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A54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A54D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A54D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A54D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A54D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A54D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A54D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A54D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A54D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A54D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A54D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A54D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A54D6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A54D6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5A54D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A54D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A54D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A54D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A54D6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A54D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A54D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A54D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A54D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A54D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A54D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A54D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A54D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A54D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A54D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A54D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A54D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A54D6"/>
  </w:style>
  <w:style w:type="paragraph" w:styleId="TableofFigures">
    <w:name w:val="table of figures"/>
    <w:basedOn w:val="Normal"/>
    <w:next w:val="Normal"/>
    <w:semiHidden/>
    <w:rsid w:val="005A54D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A54D6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5A54D6"/>
    <w:rPr>
      <w:rFonts w:ascii="Wingdings" w:hAnsi="Wingdings"/>
    </w:rPr>
  </w:style>
  <w:style w:type="paragraph" w:customStyle="1" w:styleId="TableHeading">
    <w:name w:val="Table Heading"/>
    <w:basedOn w:val="HeadingBase"/>
    <w:rsid w:val="005A54D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A54D6"/>
    <w:rPr>
      <w:color w:val="0033CC"/>
      <w:u w:val="none"/>
    </w:rPr>
  </w:style>
  <w:style w:type="paragraph" w:customStyle="1" w:styleId="BodyTextRight">
    <w:name w:val="Body Text Right"/>
    <w:basedOn w:val="BodyText"/>
    <w:rsid w:val="005A54D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A54D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A54D6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A54D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A54D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A54D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A54D6"/>
    <w:rPr>
      <w:sz w:val="32"/>
    </w:rPr>
  </w:style>
  <w:style w:type="paragraph" w:customStyle="1" w:styleId="HeadingProcedure">
    <w:name w:val="Heading Procedure"/>
    <w:basedOn w:val="HeadingBase"/>
    <w:next w:val="Normal"/>
    <w:rsid w:val="005A54D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A54D6"/>
    <w:pPr>
      <w:spacing w:before="60" w:after="60"/>
    </w:pPr>
  </w:style>
  <w:style w:type="paragraph" w:customStyle="1" w:styleId="ListNote">
    <w:name w:val="List Note"/>
    <w:basedOn w:val="List"/>
    <w:rsid w:val="005A54D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A54D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A54D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A54D6"/>
    <w:rPr>
      <w:rFonts w:ascii="Courier New" w:hAnsi="Courier New"/>
    </w:rPr>
  </w:style>
  <w:style w:type="paragraph" w:customStyle="1" w:styleId="NoteBullet">
    <w:name w:val="Note Bullet"/>
    <w:basedOn w:val="Note"/>
    <w:rsid w:val="005A54D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A54D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A54D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A54D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A54D6"/>
    <w:pPr>
      <w:numPr>
        <w:numId w:val="9"/>
      </w:numPr>
    </w:pPr>
  </w:style>
  <w:style w:type="paragraph" w:styleId="PlainText">
    <w:name w:val="Plain Text"/>
    <w:basedOn w:val="Normal"/>
    <w:link w:val="PlainTextChar"/>
    <w:rsid w:val="005A54D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A54D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A54D6"/>
    <w:rPr>
      <w:b/>
      <w:smallCaps/>
    </w:rPr>
  </w:style>
  <w:style w:type="paragraph" w:customStyle="1" w:styleId="TableListNumber">
    <w:name w:val="Table List Number"/>
    <w:basedOn w:val="ListNumber"/>
    <w:rsid w:val="005A54D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A54D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A54D6"/>
    <w:pPr>
      <w:numPr>
        <w:numId w:val="7"/>
      </w:numPr>
    </w:pPr>
  </w:style>
  <w:style w:type="paragraph" w:customStyle="1" w:styleId="ListAlpha2">
    <w:name w:val="List Alpha 2"/>
    <w:basedOn w:val="List2"/>
    <w:rsid w:val="005A54D6"/>
    <w:pPr>
      <w:numPr>
        <w:numId w:val="6"/>
      </w:numPr>
    </w:pPr>
  </w:style>
  <w:style w:type="paragraph" w:styleId="List2">
    <w:name w:val="List 2"/>
    <w:basedOn w:val="BodyText"/>
    <w:rsid w:val="005A54D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A54D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A54D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A54D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A54D6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A54D6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5A54D6"/>
    <w:pPr>
      <w:numPr>
        <w:numId w:val="2"/>
      </w:numPr>
    </w:pPr>
  </w:style>
  <w:style w:type="paragraph" w:styleId="ListContinue2">
    <w:name w:val="List Continue 2"/>
    <w:basedOn w:val="List2"/>
    <w:rsid w:val="005A54D6"/>
    <w:pPr>
      <w:ind w:firstLine="0"/>
    </w:pPr>
  </w:style>
  <w:style w:type="paragraph" w:styleId="ListContinue3">
    <w:name w:val="List Continue 3"/>
    <w:basedOn w:val="List3"/>
    <w:rsid w:val="005A54D6"/>
    <w:pPr>
      <w:ind w:left="1021" w:firstLine="0"/>
    </w:pPr>
  </w:style>
  <w:style w:type="paragraph" w:styleId="ListContinue4">
    <w:name w:val="List Continue 4"/>
    <w:basedOn w:val="List4"/>
    <w:rsid w:val="005A54D6"/>
    <w:pPr>
      <w:ind w:firstLine="0"/>
    </w:pPr>
  </w:style>
  <w:style w:type="paragraph" w:styleId="ListContinue5">
    <w:name w:val="List Continue 5"/>
    <w:basedOn w:val="List5"/>
    <w:rsid w:val="005A54D6"/>
    <w:pPr>
      <w:ind w:firstLine="0"/>
    </w:pPr>
  </w:style>
  <w:style w:type="paragraph" w:styleId="ListNumber3">
    <w:name w:val="List Number 3"/>
    <w:basedOn w:val="List3"/>
    <w:rsid w:val="005A54D6"/>
    <w:pPr>
      <w:numPr>
        <w:numId w:val="3"/>
      </w:numPr>
    </w:pPr>
  </w:style>
  <w:style w:type="paragraph" w:styleId="ListNumber4">
    <w:name w:val="List Number 4"/>
    <w:basedOn w:val="List4"/>
    <w:rsid w:val="005A54D6"/>
    <w:pPr>
      <w:numPr>
        <w:numId w:val="4"/>
      </w:numPr>
    </w:pPr>
  </w:style>
  <w:style w:type="paragraph" w:styleId="ListNumber5">
    <w:name w:val="List Number 5"/>
    <w:basedOn w:val="List5"/>
    <w:rsid w:val="005A54D6"/>
    <w:pPr>
      <w:numPr>
        <w:numId w:val="5"/>
      </w:numPr>
    </w:pPr>
  </w:style>
  <w:style w:type="paragraph" w:styleId="BlockText">
    <w:name w:val="Block Text"/>
    <w:basedOn w:val="Normal"/>
    <w:rsid w:val="005A54D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A54D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A54D6"/>
    <w:rPr>
      <w:sz w:val="16"/>
      <w:vertAlign w:val="superscript"/>
    </w:rPr>
  </w:style>
  <w:style w:type="character" w:customStyle="1" w:styleId="Symbols">
    <w:name w:val="Symbols"/>
    <w:basedOn w:val="DefaultParagraphFont"/>
    <w:rsid w:val="005A54D6"/>
    <w:rPr>
      <w:rFonts w:ascii="Symbol" w:hAnsi="Symbol"/>
    </w:rPr>
  </w:style>
  <w:style w:type="character" w:customStyle="1" w:styleId="MenuOptions">
    <w:name w:val="Menu Options"/>
    <w:basedOn w:val="DefaultParagraphFont"/>
    <w:rsid w:val="005A54D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A54D6"/>
    <w:rPr>
      <w:b/>
    </w:rPr>
  </w:style>
  <w:style w:type="character" w:customStyle="1" w:styleId="Underlined">
    <w:name w:val="Underlined"/>
    <w:basedOn w:val="DefaultParagraphFont"/>
    <w:rsid w:val="005A54D6"/>
    <w:rPr>
      <w:u w:val="single"/>
    </w:rPr>
  </w:style>
  <w:style w:type="paragraph" w:customStyle="1" w:styleId="TableBodyTextRight">
    <w:name w:val="Table Body Text Right"/>
    <w:basedOn w:val="TableBodyText"/>
    <w:rsid w:val="005A54D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A54D6"/>
    <w:rPr>
      <w:sz w:val="18"/>
    </w:rPr>
  </w:style>
  <w:style w:type="paragraph" w:customStyle="1" w:styleId="BodySmallRight">
    <w:name w:val="Body Small Right"/>
    <w:basedOn w:val="BodyTextRight"/>
    <w:rsid w:val="005A54D6"/>
    <w:rPr>
      <w:sz w:val="18"/>
      <w:szCs w:val="18"/>
    </w:rPr>
  </w:style>
  <w:style w:type="paragraph" w:customStyle="1" w:styleId="MarginEdition">
    <w:name w:val="Margin Edition"/>
    <w:basedOn w:val="MarginNote"/>
    <w:rsid w:val="005A54D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A54D6"/>
    <w:rPr>
      <w:sz w:val="2"/>
      <w:szCs w:val="2"/>
    </w:rPr>
  </w:style>
  <w:style w:type="character" w:customStyle="1" w:styleId="Small">
    <w:name w:val="Small"/>
    <w:basedOn w:val="DefaultParagraphFont"/>
    <w:rsid w:val="005A54D6"/>
    <w:rPr>
      <w:sz w:val="16"/>
    </w:rPr>
  </w:style>
  <w:style w:type="paragraph" w:customStyle="1" w:styleId="WideTable">
    <w:name w:val="Wide Table"/>
    <w:basedOn w:val="Normal"/>
    <w:rsid w:val="005A54D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A54D6"/>
  </w:style>
  <w:style w:type="paragraph" w:styleId="Quote">
    <w:name w:val="Quote"/>
    <w:basedOn w:val="Heading1"/>
    <w:link w:val="QuoteChar"/>
    <w:qFormat/>
    <w:rsid w:val="005A54D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A54D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A54D6"/>
    <w:pPr>
      <w:pageBreakBefore/>
    </w:pPr>
  </w:style>
  <w:style w:type="paragraph" w:customStyle="1" w:styleId="Border">
    <w:name w:val="Border"/>
    <w:basedOn w:val="Normal"/>
    <w:qFormat/>
    <w:rsid w:val="005A54D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A54D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4D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4D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A54D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A54D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A54D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A54D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A54D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A54D6"/>
    <w:rPr>
      <w:u w:val="single"/>
    </w:rPr>
  </w:style>
  <w:style w:type="character" w:customStyle="1" w:styleId="BoldandItalics">
    <w:name w:val="Bold and Italics"/>
    <w:qFormat/>
    <w:rsid w:val="005A54D6"/>
    <w:rPr>
      <w:b/>
      <w:i/>
      <w:u w:val="none"/>
    </w:rPr>
  </w:style>
  <w:style w:type="paragraph" w:styleId="BalloonText">
    <w:name w:val="Balloon Text"/>
    <w:basedOn w:val="Normal"/>
    <w:link w:val="BalloonTextChar"/>
    <w:rsid w:val="005A5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54D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A54D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A54D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A54D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A54D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A54D6"/>
    <w:pPr>
      <w:spacing w:before="0" w:after="0"/>
    </w:pPr>
  </w:style>
  <w:style w:type="paragraph" w:customStyle="1" w:styleId="BodyTextBold">
    <w:name w:val="Body Text Bold"/>
    <w:basedOn w:val="BodyText"/>
    <w:qFormat/>
    <w:rsid w:val="005A54D6"/>
    <w:rPr>
      <w:b/>
    </w:rPr>
  </w:style>
  <w:style w:type="character" w:styleId="Hyperlink">
    <w:name w:val="Hyperlink"/>
    <w:basedOn w:val="DefaultParagraphFont"/>
    <w:uiPriority w:val="99"/>
    <w:unhideWhenUsed/>
    <w:rsid w:val="00523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3872</Characters>
  <Application>Microsoft Office Word</Application>
  <DocSecurity>0</DocSecurity>
  <Lines>124</Lines>
  <Paragraphs>57</Paragraphs>
  <ScaleCrop>false</ScaleCrop>
  <Company>Author-it Software Corporation Ltd.</Company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HLTHPS009 Perform peripheral intravenous cannulation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2023-07-01T03:57:00Z</dcterms:created>
  <dcterms:modified xsi:type="dcterms:W3CDTF">2023-07-01T03:57:00Z</dcterms:modified>
</cp:coreProperties>
</file>