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5AE" w:rsidRDefault="002F75AE" w:rsidP="002F75AE">
      <w:pPr>
        <w:pStyle w:val="Title"/>
      </w:pPr>
      <w:fldSimple w:instr=" TITLE   \* MERGEFORMAT ">
        <w:r>
          <w:t>Assessment Requirements for HLTHPS009 Perform peripheral intravenous cannulation</w:t>
        </w:r>
      </w:fldSimple>
    </w:p>
    <w:p w:rsidR="002F75AE" w:rsidRDefault="002F75AE" w:rsidP="002F75AE">
      <w:pPr>
        <w:pStyle w:val="Version"/>
        <w:sectPr w:rsidR="002F75AE" w:rsidSect="00B539AD">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B539AD" w:rsidRDefault="002F75AE" w:rsidP="00B539AD">
      <w:pPr>
        <w:pStyle w:val="SuperHeading"/>
      </w:pPr>
      <w:r w:rsidRPr="00B539AD">
        <w:lastRenderedPageBreak/>
        <w:t>Assessment Requirements for HLTHPS009 Perform peripheral intravenous cannulation</w:t>
      </w:r>
    </w:p>
    <w:p w:rsidR="00000000" w:rsidRPr="00B539AD" w:rsidRDefault="002F75AE" w:rsidP="00B539AD">
      <w:pPr>
        <w:pStyle w:val="Heading1"/>
      </w:pPr>
      <w:bookmarkStart w:id="1" w:name="O_743665"/>
      <w:bookmarkEnd w:id="1"/>
      <w:r w:rsidRPr="00B539A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00000" w:rsidTr="00B539A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539AD" w:rsidRDefault="002F75AE" w:rsidP="00B539AD">
            <w:pPr>
              <w:pStyle w:val="BodyText"/>
            </w:pPr>
            <w:r w:rsidRPr="00B539A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F75AE" w:rsidP="00B539AD">
            <w:pPr>
              <w:pStyle w:val="BodyText"/>
              <w:rPr>
                <w:lang w:val="en-NZ"/>
              </w:rPr>
            </w:pPr>
            <w:r w:rsidRPr="00B539AD">
              <w:rPr>
                <w:rStyle w:val="SpecialBold"/>
              </w:rPr>
              <w:t>Comments</w:t>
            </w:r>
          </w:p>
        </w:tc>
      </w:tr>
      <w:tr w:rsidR="00000000" w:rsidRPr="00B539AD" w:rsidTr="00B539A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F75AE" w:rsidP="00B539AD">
            <w:pPr>
              <w:pStyle w:val="BodyText"/>
              <w:rPr>
                <w:lang w:val="en-NZ"/>
              </w:rPr>
            </w:pPr>
            <w:r w:rsidRPr="00B539A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539AD" w:rsidRDefault="002F75AE" w:rsidP="00B539AD">
            <w:pPr>
              <w:pStyle w:val="BodyText"/>
            </w:pPr>
            <w:r w:rsidRPr="00B539AD">
              <w:t xml:space="preserve">This version was released in </w:t>
            </w:r>
            <w:r w:rsidRPr="00B539AD">
              <w:rPr>
                <w:rStyle w:val="Emphasis"/>
              </w:rPr>
              <w:t>HLT Health Training Package release 2.0</w:t>
            </w:r>
            <w:r w:rsidRPr="00B539AD">
              <w:t xml:space="preserve"> and meets the requirements of the 2012 Standards for Training Packages.</w:t>
            </w:r>
          </w:p>
          <w:p w:rsidR="00000000" w:rsidRPr="00B539AD" w:rsidRDefault="002F75AE" w:rsidP="00B539AD">
            <w:pPr>
              <w:pStyle w:val="BodyText"/>
            </w:pPr>
            <w:r w:rsidRPr="00B539AD">
              <w:t>Significant changes to the elements and performance criteria. New evidence requirements for assessment including volume and frequency requirements.</w:t>
            </w:r>
          </w:p>
        </w:tc>
      </w:tr>
    </w:tbl>
    <w:p w:rsidR="002F75AE" w:rsidRDefault="002F75AE" w:rsidP="00B539AD">
      <w:pPr>
        <w:pStyle w:val="BodyText"/>
      </w:pPr>
    </w:p>
    <w:p w:rsidR="002F75AE" w:rsidRDefault="002F75AE" w:rsidP="00B539AD">
      <w:pPr>
        <w:pStyle w:val="BodyText"/>
      </w:pPr>
    </w:p>
    <w:p w:rsidR="00000000" w:rsidRPr="00B539AD" w:rsidRDefault="002F75AE" w:rsidP="00B539AD">
      <w:pPr>
        <w:pStyle w:val="Heading1"/>
      </w:pPr>
      <w:bookmarkStart w:id="2" w:name="O_743666"/>
      <w:bookmarkEnd w:id="2"/>
      <w:r w:rsidRPr="00B539AD">
        <w:t>Performance Evi</w:t>
      </w:r>
      <w:r w:rsidRPr="00B539AD">
        <w:t>dence</w:t>
      </w:r>
    </w:p>
    <w:p w:rsidR="00000000" w:rsidRPr="00B539AD" w:rsidRDefault="002F75AE" w:rsidP="002F75AE">
      <w:pPr>
        <w:pStyle w:val="BodyText"/>
      </w:pPr>
      <w:r w:rsidRPr="00B539AD">
        <w:t>The candidate must show evidence of the ability to complete tasks outlined in elements and performance criteria of this unit, manage tasks and manage contingencies in the context of the job role. There must be evidence that the candidate has:</w:t>
      </w:r>
    </w:p>
    <w:p w:rsidR="00000000" w:rsidRPr="00B539AD" w:rsidRDefault="002F75AE" w:rsidP="00B539AD">
      <w:pPr>
        <w:pStyle w:val="ListBullet"/>
      </w:pPr>
      <w:r w:rsidRPr="00B539AD">
        <w:t>prepar</w:t>
      </w:r>
      <w:r w:rsidRPr="00B539AD">
        <w:t xml:space="preserve">ed equipment and performed peripheral intravenous cannulation for 3 different clients according to manufacturer’s instructions and organisation procedures </w:t>
      </w:r>
    </w:p>
    <w:p w:rsidR="00000000" w:rsidRPr="00B539AD" w:rsidRDefault="002F75AE" w:rsidP="00B539AD">
      <w:pPr>
        <w:pStyle w:val="ListBullet"/>
      </w:pPr>
      <w:r w:rsidRPr="00B539AD">
        <w:t>monitored 1 in-situ peripheral intravenous cannula, documenting assessment</w:t>
      </w:r>
      <w:r w:rsidRPr="00B539AD">
        <w:t xml:space="preserve"> of the patency of the cannula and condition of the site</w:t>
      </w:r>
    </w:p>
    <w:p w:rsidR="00000000" w:rsidRPr="00B539AD" w:rsidRDefault="002F75AE" w:rsidP="00B539AD">
      <w:pPr>
        <w:pStyle w:val="ListBullet"/>
      </w:pPr>
      <w:r w:rsidRPr="00B539AD">
        <w:t>safely removed 1 peripheral intravenous cannula from a client in accordance with organisation procedures</w:t>
      </w:r>
    </w:p>
    <w:p w:rsidR="00000000" w:rsidRPr="00B539AD" w:rsidRDefault="002F75AE" w:rsidP="00B539AD">
      <w:pPr>
        <w:pStyle w:val="AllowPageBreak"/>
      </w:pPr>
    </w:p>
    <w:p w:rsidR="00000000" w:rsidRPr="00B539AD" w:rsidRDefault="002F75AE" w:rsidP="00B539AD">
      <w:pPr>
        <w:pStyle w:val="Heading1"/>
      </w:pPr>
      <w:bookmarkStart w:id="3" w:name="O_743667"/>
      <w:bookmarkEnd w:id="3"/>
      <w:r w:rsidRPr="00B539AD">
        <w:t>Knowledge Evidence</w:t>
      </w:r>
    </w:p>
    <w:p w:rsidR="00000000" w:rsidRPr="00B539AD" w:rsidRDefault="002F75AE" w:rsidP="002F75AE">
      <w:pPr>
        <w:pStyle w:val="BodyText"/>
      </w:pPr>
      <w:r w:rsidRPr="00B539AD">
        <w:t>The candidate must be able to demonstrate essential knowle</w:t>
      </w:r>
      <w:r w:rsidRPr="00B539AD">
        <w:t xml:space="preserve">dge required to effectively complete tasks outlined in elements and performance criteria of this unit, manage tasks and manage contingencies in the context of the work role. This includes knowledge of: </w:t>
      </w:r>
    </w:p>
    <w:p w:rsidR="00000000" w:rsidRPr="00B539AD" w:rsidRDefault="002F75AE" w:rsidP="00B539AD">
      <w:pPr>
        <w:pStyle w:val="ListBullet"/>
      </w:pPr>
      <w:r w:rsidRPr="00B539AD">
        <w:t>basic anatomy and physiology of the circulatory syst</w:t>
      </w:r>
      <w:r w:rsidRPr="00B539AD">
        <w:t>em and first aid relevant to bleeding from peripheral vascular system</w:t>
      </w:r>
    </w:p>
    <w:p w:rsidR="00000000" w:rsidRPr="00B539AD" w:rsidRDefault="002F75AE" w:rsidP="00B539AD">
      <w:pPr>
        <w:pStyle w:val="ListBullet"/>
      </w:pPr>
      <w:r w:rsidRPr="00B539AD">
        <w:t>factors necessitating a client to need a peripheral intravenous cannula to be in-situ:</w:t>
      </w:r>
    </w:p>
    <w:p w:rsidR="00000000" w:rsidRPr="00B539AD" w:rsidRDefault="002F75AE" w:rsidP="00B539AD">
      <w:pPr>
        <w:pStyle w:val="ListBullet2"/>
      </w:pPr>
      <w:r w:rsidRPr="00B539AD">
        <w:t>venous blood samples</w:t>
      </w:r>
    </w:p>
    <w:p w:rsidR="00000000" w:rsidRPr="00B539AD" w:rsidRDefault="002F75AE" w:rsidP="00B539AD">
      <w:pPr>
        <w:pStyle w:val="ListBullet2"/>
      </w:pPr>
      <w:r w:rsidRPr="00B539AD">
        <w:t>intravenous fluids</w:t>
      </w:r>
    </w:p>
    <w:p w:rsidR="00000000" w:rsidRPr="00B539AD" w:rsidRDefault="002F75AE" w:rsidP="00B539AD">
      <w:pPr>
        <w:pStyle w:val="ListBullet2"/>
      </w:pPr>
      <w:r w:rsidRPr="00B539AD">
        <w:t>medication</w:t>
      </w:r>
    </w:p>
    <w:p w:rsidR="00000000" w:rsidRPr="00B539AD" w:rsidRDefault="002F75AE" w:rsidP="00B539AD">
      <w:pPr>
        <w:pStyle w:val="ListBullet"/>
      </w:pPr>
      <w:r w:rsidRPr="00B539AD">
        <w:lastRenderedPageBreak/>
        <w:t xml:space="preserve">identification of suitable veins in the upper </w:t>
      </w:r>
      <w:r w:rsidRPr="00B539AD">
        <w:t>and lower limbs for peripheral intravenous cannulation including:</w:t>
      </w:r>
    </w:p>
    <w:p w:rsidR="00000000" w:rsidRPr="00B539AD" w:rsidRDefault="002F75AE" w:rsidP="00B539AD">
      <w:pPr>
        <w:pStyle w:val="ListBullet2"/>
      </w:pPr>
      <w:r w:rsidRPr="00B539AD">
        <w:t>size and condition of clients vein</w:t>
      </w:r>
    </w:p>
    <w:p w:rsidR="00000000" w:rsidRPr="00B539AD" w:rsidRDefault="002F75AE" w:rsidP="00B539AD">
      <w:pPr>
        <w:pStyle w:val="ListBullet2"/>
      </w:pPr>
      <w:r w:rsidRPr="00B539AD">
        <w:t>use of non-dominant limb if possible</w:t>
      </w:r>
    </w:p>
    <w:p w:rsidR="00000000" w:rsidRPr="00B539AD" w:rsidRDefault="002F75AE" w:rsidP="00B539AD">
      <w:pPr>
        <w:pStyle w:val="ListBullet2"/>
      </w:pPr>
      <w:r w:rsidRPr="00B539AD">
        <w:t xml:space="preserve">avoid the cephalic vein in clients with chronic renal failure </w:t>
      </w:r>
    </w:p>
    <w:p w:rsidR="00000000" w:rsidRPr="00B539AD" w:rsidRDefault="002F75AE" w:rsidP="00B539AD">
      <w:pPr>
        <w:pStyle w:val="ListBullet2"/>
      </w:pPr>
      <w:r w:rsidRPr="00B539AD">
        <w:t>expected duration of the in-situ intravenous cannula</w:t>
      </w:r>
    </w:p>
    <w:p w:rsidR="00000000" w:rsidRPr="00B539AD" w:rsidRDefault="002F75AE" w:rsidP="00B539AD">
      <w:pPr>
        <w:pStyle w:val="ListBullet"/>
      </w:pPr>
      <w:r w:rsidRPr="00B539AD">
        <w:t>identification of veins to avoid using for peripheral intravenous cannulation:</w:t>
      </w:r>
    </w:p>
    <w:p w:rsidR="00000000" w:rsidRPr="00B539AD" w:rsidRDefault="002F75AE" w:rsidP="00B539AD">
      <w:pPr>
        <w:pStyle w:val="ListBullet2"/>
      </w:pPr>
      <w:r w:rsidRPr="00B539AD">
        <w:t>areas of flexion e.g. antecubital fossa or bony prominences</w:t>
      </w:r>
    </w:p>
    <w:p w:rsidR="00000000" w:rsidRPr="00B539AD" w:rsidRDefault="002F75AE" w:rsidP="00B539AD">
      <w:pPr>
        <w:pStyle w:val="ListBullet2"/>
      </w:pPr>
      <w:r w:rsidRPr="00B539AD">
        <w:t>vein just below the previous cannulation site</w:t>
      </w:r>
    </w:p>
    <w:p w:rsidR="00000000" w:rsidRPr="00B539AD" w:rsidRDefault="002F75AE" w:rsidP="00B539AD">
      <w:pPr>
        <w:pStyle w:val="ListBullet2"/>
      </w:pPr>
      <w:r w:rsidRPr="00B539AD">
        <w:t>bruised or phlebitis areas</w:t>
      </w:r>
    </w:p>
    <w:p w:rsidR="00000000" w:rsidRPr="00B539AD" w:rsidRDefault="002F75AE" w:rsidP="00B539AD">
      <w:pPr>
        <w:pStyle w:val="ListBullet2"/>
      </w:pPr>
      <w:r w:rsidRPr="00B539AD">
        <w:t>areas of poor venous return</w:t>
      </w:r>
    </w:p>
    <w:p w:rsidR="00000000" w:rsidRPr="00B539AD" w:rsidRDefault="002F75AE" w:rsidP="00B539AD">
      <w:pPr>
        <w:pStyle w:val="ListBullet2"/>
      </w:pPr>
      <w:r w:rsidRPr="00B539AD">
        <w:t>limb with arter</w:t>
      </w:r>
      <w:r w:rsidRPr="00B539AD">
        <w:t>iovenous fistulae or shunt</w:t>
      </w:r>
    </w:p>
    <w:p w:rsidR="00000000" w:rsidRPr="00B539AD" w:rsidRDefault="002F75AE" w:rsidP="00B539AD">
      <w:pPr>
        <w:pStyle w:val="ListBullet2"/>
      </w:pPr>
      <w:r w:rsidRPr="00B539AD">
        <w:t>infected limb e.g. cellulitis</w:t>
      </w:r>
    </w:p>
    <w:p w:rsidR="00000000" w:rsidRPr="00B539AD" w:rsidRDefault="002F75AE" w:rsidP="00B539AD">
      <w:pPr>
        <w:pStyle w:val="ListBullet2"/>
      </w:pPr>
      <w:r w:rsidRPr="00B539AD">
        <w:t>arm on the same side as a previous lymph node dissection, mastectomy or affected by a cerebrovascular accident</w:t>
      </w:r>
    </w:p>
    <w:p w:rsidR="00000000" w:rsidRPr="00B539AD" w:rsidRDefault="002F75AE" w:rsidP="00B539AD">
      <w:pPr>
        <w:pStyle w:val="ListBullet2"/>
      </w:pPr>
      <w:r w:rsidRPr="00B539AD">
        <w:t xml:space="preserve">limb with an implanted venous access device </w:t>
      </w:r>
    </w:p>
    <w:p w:rsidR="00000000" w:rsidRPr="00B539AD" w:rsidRDefault="002F75AE" w:rsidP="00B539AD">
      <w:pPr>
        <w:pStyle w:val="ListBullet2"/>
      </w:pPr>
      <w:r w:rsidRPr="00B539AD">
        <w:t xml:space="preserve">if surgical procedure is required on limb </w:t>
      </w:r>
    </w:p>
    <w:p w:rsidR="00000000" w:rsidRPr="00B539AD" w:rsidRDefault="002F75AE" w:rsidP="00B539AD">
      <w:pPr>
        <w:pStyle w:val="ListBullet"/>
      </w:pPr>
      <w:r w:rsidRPr="00B539AD">
        <w:t>basic medical terminology used in peripheral vascular cannulation and pathology laboratory requests</w:t>
      </w:r>
    </w:p>
    <w:p w:rsidR="00000000" w:rsidRPr="00B539AD" w:rsidRDefault="002F75AE" w:rsidP="00B539AD">
      <w:pPr>
        <w:pStyle w:val="ListBullet"/>
      </w:pPr>
      <w:r w:rsidRPr="00B539AD">
        <w:t>factors which may affect the chemical analysis of blood collected from an in-situ peripheral intravenous cannula:</w:t>
      </w:r>
    </w:p>
    <w:p w:rsidR="00000000" w:rsidRPr="00B539AD" w:rsidRDefault="002F75AE" w:rsidP="00B539AD">
      <w:pPr>
        <w:pStyle w:val="ListBullet2"/>
      </w:pPr>
      <w:r w:rsidRPr="00B539AD">
        <w:t>appropriate times to collect</w:t>
      </w:r>
    </w:p>
    <w:p w:rsidR="00000000" w:rsidRPr="00B539AD" w:rsidRDefault="002F75AE" w:rsidP="00B539AD">
      <w:pPr>
        <w:pStyle w:val="ListBullet2"/>
      </w:pPr>
      <w:r w:rsidRPr="00B539AD">
        <w:t>impact of d</w:t>
      </w:r>
      <w:r w:rsidRPr="00B539AD">
        <w:t>rugs</w:t>
      </w:r>
    </w:p>
    <w:p w:rsidR="00000000" w:rsidRPr="00B539AD" w:rsidRDefault="002F75AE" w:rsidP="00B539AD">
      <w:pPr>
        <w:pStyle w:val="ListBullet2"/>
      </w:pPr>
      <w:r w:rsidRPr="00B539AD">
        <w:t>timing of last dose</w:t>
      </w:r>
    </w:p>
    <w:p w:rsidR="00000000" w:rsidRPr="00B539AD" w:rsidRDefault="002F75AE" w:rsidP="00B539AD">
      <w:pPr>
        <w:pStyle w:val="ListBullet2"/>
      </w:pPr>
      <w:r w:rsidRPr="00B539AD">
        <w:t>required fasting times</w:t>
      </w:r>
    </w:p>
    <w:p w:rsidR="00000000" w:rsidRPr="00B539AD" w:rsidRDefault="002F75AE" w:rsidP="00B539AD">
      <w:pPr>
        <w:pStyle w:val="ListBullet2"/>
      </w:pPr>
      <w:r w:rsidRPr="00B539AD">
        <w:t>protecting the integrity of the specimen</w:t>
      </w:r>
    </w:p>
    <w:p w:rsidR="00000000" w:rsidRPr="00B539AD" w:rsidRDefault="002F75AE" w:rsidP="00B539AD">
      <w:pPr>
        <w:pStyle w:val="ListBullet"/>
      </w:pPr>
      <w:r w:rsidRPr="00B539AD">
        <w:t>how to position client for comfort and adjust chair or bed to reduce practitioners WHS risk factors associated with poor posture during repetitive tasks</w:t>
      </w:r>
    </w:p>
    <w:p w:rsidR="00000000" w:rsidRPr="00B539AD" w:rsidRDefault="002F75AE" w:rsidP="00B539AD">
      <w:pPr>
        <w:pStyle w:val="ListBullet"/>
      </w:pPr>
      <w:r w:rsidRPr="00B539AD">
        <w:t xml:space="preserve">clinical applications for sizes (gauge) of cannula required, selection should take into account: </w:t>
      </w:r>
    </w:p>
    <w:p w:rsidR="00000000" w:rsidRPr="00B539AD" w:rsidRDefault="002F75AE" w:rsidP="00B539AD">
      <w:pPr>
        <w:pStyle w:val="ListBullet2"/>
      </w:pPr>
      <w:r w:rsidRPr="00B539AD">
        <w:t xml:space="preserve">previous cannulation sites </w:t>
      </w:r>
    </w:p>
    <w:p w:rsidR="00000000" w:rsidRPr="00B539AD" w:rsidRDefault="002F75AE" w:rsidP="00B539AD">
      <w:pPr>
        <w:pStyle w:val="ListBullet2"/>
      </w:pPr>
      <w:r w:rsidRPr="00B539AD">
        <w:t>age of patient e.g. neonates, children and the older person</w:t>
      </w:r>
    </w:p>
    <w:p w:rsidR="00000000" w:rsidRPr="00B539AD" w:rsidRDefault="002F75AE" w:rsidP="00B539AD">
      <w:pPr>
        <w:pStyle w:val="ListBullet2"/>
      </w:pPr>
      <w:r w:rsidRPr="00B539AD">
        <w:t xml:space="preserve">purpose of peripheral intravenous cannula: </w:t>
      </w:r>
    </w:p>
    <w:p w:rsidR="00000000" w:rsidRPr="00B539AD" w:rsidRDefault="002F75AE" w:rsidP="00B539AD">
      <w:pPr>
        <w:pStyle w:val="ListBullet3"/>
      </w:pPr>
      <w:r w:rsidRPr="00B539AD">
        <w:t>rapid transfusion</w:t>
      </w:r>
    </w:p>
    <w:p w:rsidR="00000000" w:rsidRPr="00B539AD" w:rsidRDefault="002F75AE" w:rsidP="00B539AD">
      <w:pPr>
        <w:pStyle w:val="ListBullet3"/>
      </w:pPr>
      <w:r w:rsidRPr="00B539AD">
        <w:t>intravenous fluids</w:t>
      </w:r>
    </w:p>
    <w:p w:rsidR="00000000" w:rsidRPr="00B539AD" w:rsidRDefault="002F75AE" w:rsidP="00B539AD">
      <w:pPr>
        <w:pStyle w:val="ListBullet3"/>
      </w:pPr>
      <w:r w:rsidRPr="00B539AD">
        <w:t>long term medication</w:t>
      </w:r>
    </w:p>
    <w:p w:rsidR="00000000" w:rsidRPr="00B539AD" w:rsidRDefault="002F75AE" w:rsidP="00B539AD">
      <w:pPr>
        <w:pStyle w:val="ListBullet"/>
      </w:pPr>
      <w:r w:rsidRPr="00B539AD">
        <w:t>care and maintenance of peripheral intravenous cannula in- situ</w:t>
      </w:r>
    </w:p>
    <w:p w:rsidR="00000000" w:rsidRPr="00B539AD" w:rsidRDefault="002F75AE" w:rsidP="00B539AD">
      <w:pPr>
        <w:pStyle w:val="ListBullet"/>
      </w:pPr>
      <w:r w:rsidRPr="00B539AD">
        <w:t>complications associated with peripheral intravenous cannulation:</w:t>
      </w:r>
    </w:p>
    <w:p w:rsidR="00000000" w:rsidRPr="00B539AD" w:rsidRDefault="002F75AE" w:rsidP="00B539AD">
      <w:pPr>
        <w:pStyle w:val="ListBullet2"/>
      </w:pPr>
      <w:r w:rsidRPr="00B539AD">
        <w:t>occlusion</w:t>
      </w:r>
    </w:p>
    <w:p w:rsidR="00000000" w:rsidRPr="00B539AD" w:rsidRDefault="002F75AE" w:rsidP="00B539AD">
      <w:pPr>
        <w:pStyle w:val="ListBullet2"/>
      </w:pPr>
      <w:r w:rsidRPr="00B539AD">
        <w:t>infection</w:t>
      </w:r>
    </w:p>
    <w:p w:rsidR="00000000" w:rsidRPr="00B539AD" w:rsidRDefault="002F75AE" w:rsidP="00B539AD">
      <w:pPr>
        <w:pStyle w:val="ListBullet2"/>
      </w:pPr>
      <w:r w:rsidRPr="00B539AD">
        <w:t>phlebitis</w:t>
      </w:r>
    </w:p>
    <w:p w:rsidR="00000000" w:rsidRPr="00B539AD" w:rsidRDefault="002F75AE" w:rsidP="00B539AD">
      <w:pPr>
        <w:pStyle w:val="ListBullet2"/>
      </w:pPr>
      <w:r w:rsidRPr="00B539AD">
        <w:lastRenderedPageBreak/>
        <w:t>rupture</w:t>
      </w:r>
    </w:p>
    <w:p w:rsidR="00000000" w:rsidRPr="00B539AD" w:rsidRDefault="002F75AE" w:rsidP="00B539AD">
      <w:pPr>
        <w:pStyle w:val="ListBullet2"/>
      </w:pPr>
      <w:r w:rsidRPr="00B539AD">
        <w:t>migration</w:t>
      </w:r>
    </w:p>
    <w:p w:rsidR="00000000" w:rsidRPr="00B539AD" w:rsidRDefault="002F75AE" w:rsidP="00B539AD">
      <w:pPr>
        <w:pStyle w:val="ListBullet2"/>
      </w:pPr>
      <w:r w:rsidRPr="00B539AD">
        <w:t>extravasation</w:t>
      </w:r>
    </w:p>
    <w:p w:rsidR="00000000" w:rsidRPr="00B539AD" w:rsidRDefault="002F75AE" w:rsidP="00B539AD">
      <w:pPr>
        <w:pStyle w:val="ListBullet2"/>
      </w:pPr>
      <w:r w:rsidRPr="00B539AD">
        <w:t>unsuccessful cannulation attempt, client discomfort or distress</w:t>
      </w:r>
    </w:p>
    <w:p w:rsidR="00000000" w:rsidRPr="00B539AD" w:rsidRDefault="002F75AE" w:rsidP="00B539AD">
      <w:pPr>
        <w:pStyle w:val="ListBullet"/>
      </w:pPr>
      <w:r w:rsidRPr="00B539AD">
        <w:t xml:space="preserve">how to safely use equipment associated with peripheral intravenous cannulation: </w:t>
      </w:r>
    </w:p>
    <w:p w:rsidR="00000000" w:rsidRPr="00B539AD" w:rsidRDefault="002F75AE" w:rsidP="00B539AD">
      <w:pPr>
        <w:pStyle w:val="ListBullet2"/>
      </w:pPr>
      <w:r w:rsidRPr="00B539AD">
        <w:t>tourniquet and/or blood pressure cuff</w:t>
      </w:r>
    </w:p>
    <w:p w:rsidR="00000000" w:rsidRPr="00B539AD" w:rsidRDefault="002F75AE" w:rsidP="00B539AD">
      <w:pPr>
        <w:pStyle w:val="ListBullet2"/>
      </w:pPr>
      <w:r w:rsidRPr="00B539AD">
        <w:t>chlorhexidine and alcohol swabs</w:t>
      </w:r>
    </w:p>
    <w:p w:rsidR="00000000" w:rsidRPr="00B539AD" w:rsidRDefault="002F75AE" w:rsidP="00B539AD">
      <w:pPr>
        <w:pStyle w:val="ListBullet2"/>
      </w:pPr>
      <w:r w:rsidRPr="00B539AD">
        <w:t>peripheral intravenous cannula</w:t>
      </w:r>
    </w:p>
    <w:p w:rsidR="00000000" w:rsidRPr="00B539AD" w:rsidRDefault="002F75AE" w:rsidP="00B539AD">
      <w:pPr>
        <w:pStyle w:val="ListBullet2"/>
      </w:pPr>
      <w:r w:rsidRPr="00B539AD">
        <w:t>local an</w:t>
      </w:r>
      <w:r w:rsidRPr="00B539AD">
        <w:t>aesthetic cream and dressings</w:t>
      </w:r>
    </w:p>
    <w:p w:rsidR="00000000" w:rsidRPr="00B539AD" w:rsidRDefault="002F75AE" w:rsidP="00B539AD">
      <w:pPr>
        <w:pStyle w:val="ListBullet2"/>
      </w:pPr>
      <w:r w:rsidRPr="00B539AD">
        <w:t>extension set and/or three-way tap device &amp; bung associated with intravenous therapy</w:t>
      </w:r>
    </w:p>
    <w:p w:rsidR="00000000" w:rsidRPr="00B539AD" w:rsidRDefault="002F75AE" w:rsidP="00B539AD">
      <w:pPr>
        <w:pStyle w:val="ListBullet2"/>
      </w:pPr>
      <w:r w:rsidRPr="00B539AD">
        <w:t>flushing in-situ cannula with syringe</w:t>
      </w:r>
    </w:p>
    <w:p w:rsidR="00000000" w:rsidRPr="00B539AD" w:rsidRDefault="002F75AE" w:rsidP="00B539AD">
      <w:pPr>
        <w:pStyle w:val="ListBullet"/>
      </w:pPr>
      <w:r w:rsidRPr="00B539AD">
        <w:t>pre-collection criteria when peripheral intravenous cannulation is for the purpose of collecting blood</w:t>
      </w:r>
      <w:r w:rsidRPr="00B539AD">
        <w:t xml:space="preserve"> including:</w:t>
      </w:r>
    </w:p>
    <w:p w:rsidR="00000000" w:rsidRPr="00B539AD" w:rsidRDefault="002F75AE" w:rsidP="00B539AD">
      <w:pPr>
        <w:pStyle w:val="ListBullet2"/>
      </w:pPr>
      <w:r w:rsidRPr="00B539AD">
        <w:t>fasting and/or dietary restrictions</w:t>
      </w:r>
    </w:p>
    <w:p w:rsidR="00000000" w:rsidRPr="00B539AD" w:rsidRDefault="002F75AE" w:rsidP="00B539AD">
      <w:pPr>
        <w:pStyle w:val="ListBullet2"/>
      </w:pPr>
      <w:r w:rsidRPr="00B539AD">
        <w:t>drug therapies administered to client</w:t>
      </w:r>
    </w:p>
    <w:p w:rsidR="00000000" w:rsidRPr="00B539AD" w:rsidRDefault="002F75AE" w:rsidP="00B539AD">
      <w:pPr>
        <w:pStyle w:val="ListBullet2"/>
      </w:pPr>
      <w:r w:rsidRPr="00B539AD">
        <w:t>physical health status of client</w:t>
      </w:r>
    </w:p>
    <w:p w:rsidR="00000000" w:rsidRPr="00B539AD" w:rsidRDefault="002F75AE" w:rsidP="00B539AD">
      <w:pPr>
        <w:pStyle w:val="ListBullet2"/>
      </w:pPr>
      <w:r w:rsidRPr="00B539AD">
        <w:t>referral of client to an appropriate health professional if pre-criteria is not met prior to cannulation</w:t>
      </w:r>
    </w:p>
    <w:p w:rsidR="00000000" w:rsidRPr="00B539AD" w:rsidRDefault="002F75AE" w:rsidP="00B539AD">
      <w:pPr>
        <w:pStyle w:val="AllowPageBreak"/>
      </w:pPr>
    </w:p>
    <w:p w:rsidR="00000000" w:rsidRPr="00B539AD" w:rsidRDefault="002F75AE" w:rsidP="00B539AD">
      <w:pPr>
        <w:pStyle w:val="Heading1"/>
      </w:pPr>
      <w:bookmarkStart w:id="4" w:name="O_743668"/>
      <w:bookmarkEnd w:id="4"/>
      <w:r w:rsidRPr="00B539AD">
        <w:t>Assessment Conditions</w:t>
      </w:r>
    </w:p>
    <w:p w:rsidR="00000000" w:rsidRPr="00B539AD" w:rsidRDefault="002F75AE" w:rsidP="002F75AE">
      <w:pPr>
        <w:pStyle w:val="BodyText"/>
      </w:pPr>
      <w:r w:rsidRPr="00B539AD">
        <w:t>Skills must have been demonstrated in the workplace with the addition of simulations and scenarios where the full range of contexts and situations has not been provided in the workplace. The following aspects of the performance eviden</w:t>
      </w:r>
      <w:r w:rsidRPr="00B539AD">
        <w:t>ce must have been demonstrated using simulation prior to demonstration in the workplace or with members of the general public and where state/territory legislation prevents this occurring:</w:t>
      </w:r>
    </w:p>
    <w:p w:rsidR="00000000" w:rsidRPr="00B539AD" w:rsidRDefault="002F75AE" w:rsidP="00B539AD">
      <w:pPr>
        <w:pStyle w:val="ListBullet"/>
      </w:pPr>
      <w:r w:rsidRPr="00B539AD">
        <w:t>prepared equipment and performed peripheral intravenous cannulatio</w:t>
      </w:r>
      <w:r w:rsidRPr="00B539AD">
        <w:t xml:space="preserve">n for 3 different clients according to manufacturer’s instructions and organisation procedures </w:t>
      </w:r>
    </w:p>
    <w:p w:rsidR="00000000" w:rsidRPr="00B539AD" w:rsidRDefault="002F75AE" w:rsidP="00B539AD">
      <w:pPr>
        <w:pStyle w:val="ListBullet"/>
      </w:pPr>
      <w:r w:rsidRPr="00B539AD">
        <w:t>monitored 1 in-situ peripheral intravenous cannula, documenting assessment of the patency of the cannula and condition of the site</w:t>
      </w:r>
    </w:p>
    <w:p w:rsidR="00000000" w:rsidRPr="00B539AD" w:rsidRDefault="002F75AE" w:rsidP="00B539AD">
      <w:pPr>
        <w:pStyle w:val="ListBullet"/>
      </w:pPr>
      <w:r w:rsidRPr="00B539AD">
        <w:t>safely removed 1 peripheral i</w:t>
      </w:r>
      <w:r w:rsidRPr="00B539AD">
        <w:t>ntravenous cannula from a client in accordance with organisation procedures</w:t>
      </w:r>
    </w:p>
    <w:p w:rsidR="00000000" w:rsidRPr="00B539AD" w:rsidRDefault="002F75AE" w:rsidP="00B539AD">
      <w:pPr>
        <w:pStyle w:val="BodyText"/>
      </w:pPr>
    </w:p>
    <w:p w:rsidR="00000000" w:rsidRPr="00B539AD" w:rsidRDefault="002F75AE" w:rsidP="002F75AE">
      <w:pPr>
        <w:pStyle w:val="BodyText"/>
      </w:pPr>
      <w:r w:rsidRPr="00B539AD">
        <w:t>The following conditions must be met for this unit:</w:t>
      </w:r>
    </w:p>
    <w:p w:rsidR="00000000" w:rsidRPr="00B539AD" w:rsidRDefault="002F75AE" w:rsidP="00B539AD">
      <w:pPr>
        <w:pStyle w:val="ListBullet"/>
      </w:pPr>
      <w:r w:rsidRPr="00B539AD">
        <w:t xml:space="preserve">use of suitable facilities, equipment and resources, including: </w:t>
      </w:r>
    </w:p>
    <w:p w:rsidR="00000000" w:rsidRPr="00B539AD" w:rsidRDefault="002F75AE" w:rsidP="00B539AD">
      <w:pPr>
        <w:pStyle w:val="ListBullet2"/>
      </w:pPr>
      <w:r w:rsidRPr="00B539AD">
        <w:t xml:space="preserve">simulation learning equipment e.g. simulation limb suitable </w:t>
      </w:r>
      <w:r w:rsidRPr="00B539AD">
        <w:t xml:space="preserve">for peripheral intravenous cannulation </w:t>
      </w:r>
    </w:p>
    <w:p w:rsidR="00000000" w:rsidRPr="00B539AD" w:rsidRDefault="002F75AE" w:rsidP="00B539AD">
      <w:pPr>
        <w:pStyle w:val="ListBullet2"/>
      </w:pPr>
      <w:r w:rsidRPr="00B539AD">
        <w:t>dressing pack for aseptic technique</w:t>
      </w:r>
    </w:p>
    <w:p w:rsidR="00000000" w:rsidRPr="00B539AD" w:rsidRDefault="002F75AE" w:rsidP="00B539AD">
      <w:pPr>
        <w:pStyle w:val="ListBullet2"/>
      </w:pPr>
      <w:r w:rsidRPr="00B539AD">
        <w:t>solution for cleaning cannulation site</w:t>
      </w:r>
    </w:p>
    <w:p w:rsidR="00000000" w:rsidRPr="00B539AD" w:rsidRDefault="002F75AE" w:rsidP="00B539AD">
      <w:pPr>
        <w:pStyle w:val="ListBullet2"/>
      </w:pPr>
      <w:r w:rsidRPr="00B539AD">
        <w:t>tape for securing cannula</w:t>
      </w:r>
    </w:p>
    <w:p w:rsidR="00000000" w:rsidRPr="00B539AD" w:rsidRDefault="002F75AE" w:rsidP="00B539AD">
      <w:pPr>
        <w:pStyle w:val="ListBullet2"/>
      </w:pPr>
      <w:r w:rsidRPr="00B539AD">
        <w:t>suitable dressing to cover and allow visibility of entry site of cannula</w:t>
      </w:r>
    </w:p>
    <w:p w:rsidR="00000000" w:rsidRPr="00B539AD" w:rsidRDefault="002F75AE" w:rsidP="00B539AD">
      <w:pPr>
        <w:pStyle w:val="ListBullet2"/>
      </w:pPr>
      <w:r w:rsidRPr="00B539AD">
        <w:t xml:space="preserve">peripheral intravenous cannulation equipment </w:t>
      </w:r>
    </w:p>
    <w:p w:rsidR="00000000" w:rsidRPr="00B539AD" w:rsidRDefault="002F75AE" w:rsidP="00B539AD">
      <w:pPr>
        <w:pStyle w:val="ListBullet2"/>
      </w:pPr>
      <w:r w:rsidRPr="00B539AD">
        <w:t>personal protective equipment</w:t>
      </w:r>
    </w:p>
    <w:p w:rsidR="00000000" w:rsidRPr="00B539AD" w:rsidRDefault="002F75AE" w:rsidP="00B539AD">
      <w:pPr>
        <w:pStyle w:val="ListBullet2"/>
      </w:pPr>
      <w:r w:rsidRPr="00B539AD">
        <w:t>clinical waste disposal equipment</w:t>
      </w:r>
    </w:p>
    <w:p w:rsidR="00000000" w:rsidRPr="00B539AD" w:rsidRDefault="002F75AE" w:rsidP="00B539AD">
      <w:pPr>
        <w:pStyle w:val="ListBullet2"/>
      </w:pPr>
      <w:r w:rsidRPr="00B539AD">
        <w:t>tourniquet/blood pressure cuff</w:t>
      </w:r>
    </w:p>
    <w:p w:rsidR="00000000" w:rsidRPr="00B539AD" w:rsidRDefault="002F75AE" w:rsidP="00B539AD">
      <w:pPr>
        <w:pStyle w:val="ListBullet2"/>
      </w:pPr>
      <w:r w:rsidRPr="00B539AD">
        <w:t>organisation procedure used in the planning of the procedure</w:t>
      </w:r>
    </w:p>
    <w:p w:rsidR="00000000" w:rsidRPr="00B539AD" w:rsidRDefault="002F75AE" w:rsidP="00B539AD">
      <w:pPr>
        <w:pStyle w:val="BodyText"/>
      </w:pPr>
    </w:p>
    <w:p w:rsidR="00000000" w:rsidRPr="00B539AD" w:rsidRDefault="002F75AE" w:rsidP="002F75AE">
      <w:pPr>
        <w:pStyle w:val="BodyText"/>
      </w:pPr>
      <w:r w:rsidRPr="00B539AD">
        <w:t>Assessors must satisfy the Standards for Registered T</w:t>
      </w:r>
      <w:r w:rsidRPr="00B539AD">
        <w:t>raining Organisations (RTOs) 2015/AQTF mandatory competency requirements for assessors.</w:t>
      </w:r>
    </w:p>
    <w:p w:rsidR="00000000" w:rsidRPr="00B539AD" w:rsidRDefault="002F75AE" w:rsidP="00B539AD">
      <w:pPr>
        <w:pStyle w:val="Heading1"/>
      </w:pPr>
      <w:bookmarkStart w:id="5" w:name="O_743671"/>
      <w:bookmarkEnd w:id="5"/>
      <w:r w:rsidRPr="00B539AD">
        <w:t>Links</w:t>
      </w:r>
    </w:p>
    <w:p w:rsidR="00000000" w:rsidRPr="00B539AD" w:rsidRDefault="002F75AE" w:rsidP="002F75AE">
      <w:pPr>
        <w:pStyle w:val="BodyText"/>
      </w:pPr>
      <w:r w:rsidRPr="00B539AD">
        <w:t xml:space="preserve">Companion Volume implementation guides are found in VETNet - </w:t>
      </w:r>
      <w:hyperlink r:id="rId13" w:history="1">
        <w:r w:rsidRPr="00724214">
          <w:rPr>
            <w:rStyle w:val="Hyperlink"/>
          </w:rPr>
          <w:t>https://vetnet.gov.au/Pages/TrainingDocs.aspx?q=ced1390f-48d9-4ab0-bd50-b015e5485705</w:t>
        </w:r>
      </w:hyperlink>
    </w:p>
    <w:p w:rsidR="00000000" w:rsidRPr="00B539AD" w:rsidRDefault="002F75AE" w:rsidP="00B539AD"/>
    <w:sectPr w:rsidR="00000000" w:rsidRPr="00B539AD" w:rsidSect="00B539AD">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9AD" w:rsidRDefault="00B539AD" w:rsidP="00B539AD">
      <w:r>
        <w:separator/>
      </w:r>
    </w:p>
  </w:endnote>
  <w:endnote w:type="continuationSeparator" w:id="0">
    <w:p w:rsidR="00B539AD" w:rsidRDefault="00B539AD" w:rsidP="00B53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AD" w:rsidRDefault="00B539AD">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AD" w:rsidRPr="002F75AE" w:rsidRDefault="00B539AD" w:rsidP="002F75AE">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AD" w:rsidRDefault="00B539AD">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AE" w:rsidRDefault="002F75AE" w:rsidP="00B539A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2F75AE" w:rsidRDefault="002F75AE" w:rsidP="00B539AD">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2F75AE" w:rsidRDefault="002F75AE" w:rsidP="00B539AD">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9AD" w:rsidRDefault="00B539AD" w:rsidP="00B539AD">
      <w:r>
        <w:separator/>
      </w:r>
    </w:p>
  </w:footnote>
  <w:footnote w:type="continuationSeparator" w:id="0">
    <w:p w:rsidR="00B539AD" w:rsidRDefault="00B539AD" w:rsidP="00B53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AD" w:rsidRDefault="00B539AD">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AE" w:rsidRDefault="002F75A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81C135D" wp14:editId="381F87A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B539AD" w:rsidRPr="002F75AE" w:rsidRDefault="00B539AD" w:rsidP="002F75AE">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AD" w:rsidRDefault="00B539AD">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5AE" w:rsidRPr="002D2AF8" w:rsidRDefault="002F75AE" w:rsidP="00B539AD">
    <w:pPr>
      <w:pStyle w:val="Header"/>
      <w:framePr w:wrap="around"/>
    </w:pPr>
    <w:fldSimple w:instr=" TITLE   \* MERGEFORMAT ">
      <w:r>
        <w:t>Assessment Requirements for HLTHPS009 Perform peripheral intravenous cannulation</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rsidR="002F75AE" w:rsidRDefault="002F75AE" w:rsidP="00B539AD">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894217F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41F81E6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B118869A"/>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11"/>
  </w:num>
  <w:num w:numId="11">
    <w:abstractNumId w:val="15"/>
  </w:num>
  <w:num w:numId="12">
    <w:abstractNumId w:val="9"/>
  </w:num>
  <w:num w:numId="13">
    <w:abstractNumId w:val="12"/>
  </w:num>
  <w:num w:numId="14">
    <w:abstractNumId w:val="10"/>
  </w:num>
  <w:num w:numId="15">
    <w:abstractNumId w:val="5"/>
  </w:num>
  <w:num w:numId="16">
    <w:abstractNumId w:val="13"/>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539AD"/>
    <w:rsid w:val="002F75AE"/>
    <w:rsid w:val="00B539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9A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539AD"/>
    <w:pPr>
      <w:spacing w:before="360" w:after="60"/>
      <w:outlineLvl w:val="0"/>
    </w:pPr>
    <w:rPr>
      <w:sz w:val="32"/>
    </w:rPr>
  </w:style>
  <w:style w:type="paragraph" w:styleId="Heading2">
    <w:name w:val="heading 2"/>
    <w:basedOn w:val="HeadingBase"/>
    <w:next w:val="BodyText"/>
    <w:link w:val="Heading2Char"/>
    <w:qFormat/>
    <w:rsid w:val="00B539AD"/>
    <w:pPr>
      <w:keepLines/>
      <w:spacing w:before="240" w:after="120"/>
      <w:outlineLvl w:val="1"/>
    </w:pPr>
    <w:rPr>
      <w:sz w:val="28"/>
      <w:szCs w:val="40"/>
    </w:rPr>
  </w:style>
  <w:style w:type="paragraph" w:styleId="Heading3">
    <w:name w:val="heading 3"/>
    <w:basedOn w:val="HeadingBase"/>
    <w:next w:val="BodyText"/>
    <w:link w:val="Heading3Char"/>
    <w:qFormat/>
    <w:rsid w:val="00B539AD"/>
    <w:pPr>
      <w:spacing w:before="180" w:after="120"/>
      <w:outlineLvl w:val="2"/>
    </w:pPr>
    <w:rPr>
      <w:spacing w:val="-10"/>
      <w:kern w:val="32"/>
    </w:rPr>
  </w:style>
  <w:style w:type="paragraph" w:styleId="Heading4">
    <w:name w:val="heading 4"/>
    <w:basedOn w:val="HeadingBase"/>
    <w:next w:val="BodyText"/>
    <w:link w:val="Heading4Char"/>
    <w:qFormat/>
    <w:rsid w:val="00B539AD"/>
    <w:pPr>
      <w:spacing w:before="160" w:after="120"/>
      <w:outlineLvl w:val="3"/>
    </w:pPr>
    <w:rPr>
      <w:sz w:val="22"/>
    </w:rPr>
  </w:style>
  <w:style w:type="paragraph" w:styleId="Heading5">
    <w:name w:val="heading 5"/>
    <w:basedOn w:val="HeadingBase"/>
    <w:next w:val="Normal"/>
    <w:link w:val="Heading5Char"/>
    <w:qFormat/>
    <w:rsid w:val="00B539AD"/>
    <w:pPr>
      <w:spacing w:before="80"/>
      <w:outlineLvl w:val="4"/>
    </w:pPr>
    <w:rPr>
      <w:color w:val="918585"/>
      <w:sz w:val="20"/>
    </w:rPr>
  </w:style>
  <w:style w:type="paragraph" w:styleId="Heading6">
    <w:name w:val="heading 6"/>
    <w:basedOn w:val="HeadingBase"/>
    <w:next w:val="Normal"/>
    <w:link w:val="Heading6Char"/>
    <w:qFormat/>
    <w:rsid w:val="00B539AD"/>
    <w:pPr>
      <w:spacing w:before="60"/>
      <w:outlineLvl w:val="5"/>
    </w:pPr>
    <w:rPr>
      <w:color w:val="918585"/>
      <w:sz w:val="20"/>
    </w:rPr>
  </w:style>
  <w:style w:type="paragraph" w:styleId="Heading7">
    <w:name w:val="heading 7"/>
    <w:basedOn w:val="Normal"/>
    <w:next w:val="Normal"/>
    <w:link w:val="Heading7Char"/>
    <w:qFormat/>
    <w:rsid w:val="00B539AD"/>
    <w:pPr>
      <w:ind w:left="720"/>
      <w:outlineLvl w:val="6"/>
    </w:pPr>
    <w:rPr>
      <w:i/>
    </w:rPr>
  </w:style>
  <w:style w:type="paragraph" w:styleId="Heading8">
    <w:name w:val="heading 8"/>
    <w:basedOn w:val="Normal"/>
    <w:next w:val="Normal"/>
    <w:link w:val="Heading8Char"/>
    <w:qFormat/>
    <w:rsid w:val="00B539AD"/>
    <w:pPr>
      <w:ind w:left="720"/>
      <w:outlineLvl w:val="7"/>
    </w:pPr>
    <w:rPr>
      <w:i/>
    </w:rPr>
  </w:style>
  <w:style w:type="paragraph" w:styleId="Heading9">
    <w:name w:val="heading 9"/>
    <w:basedOn w:val="Normal"/>
    <w:next w:val="Normal"/>
    <w:link w:val="Heading9Char"/>
    <w:qFormat/>
    <w:rsid w:val="00B539AD"/>
    <w:pPr>
      <w:ind w:left="720"/>
      <w:outlineLvl w:val="8"/>
    </w:pPr>
    <w:rPr>
      <w:i/>
    </w:rPr>
  </w:style>
  <w:style w:type="character" w:default="1" w:styleId="DefaultParagraphFont">
    <w:name w:val="Default Paragraph Font"/>
    <w:uiPriority w:val="1"/>
    <w:unhideWhenUsed/>
    <w:rsid w:val="00B539A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539AD"/>
  </w:style>
  <w:style w:type="character" w:customStyle="1" w:styleId="Heading1Char">
    <w:name w:val="Heading 1 Char"/>
    <w:basedOn w:val="DefaultParagraphFont"/>
    <w:link w:val="Heading1"/>
    <w:rsid w:val="00B539AD"/>
    <w:rPr>
      <w:rFonts w:ascii="Times New Roman" w:eastAsia="Times New Roman" w:hAnsi="Times New Roman" w:cs="Times New Roman"/>
      <w:b/>
      <w:sz w:val="32"/>
      <w:szCs w:val="20"/>
      <w:lang w:eastAsia="en-US"/>
    </w:rPr>
  </w:style>
  <w:style w:type="paragraph" w:styleId="BodyText">
    <w:name w:val="Body Text"/>
    <w:basedOn w:val="Normal"/>
    <w:link w:val="BodyTextChar"/>
    <w:rsid w:val="00B539A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539AD"/>
    <w:rPr>
      <w:rFonts w:ascii="Times New Roman" w:eastAsia="Times New Roman" w:hAnsi="Times New Roman" w:cs="Times New Roman"/>
      <w:sz w:val="24"/>
      <w:lang w:eastAsia="en-US"/>
    </w:rPr>
  </w:style>
  <w:style w:type="paragraph" w:styleId="ListBullet">
    <w:name w:val="List Bullet"/>
    <w:basedOn w:val="List"/>
    <w:rsid w:val="00B539AD"/>
    <w:pPr>
      <w:numPr>
        <w:numId w:val="13"/>
      </w:numPr>
      <w:tabs>
        <w:tab w:val="clear" w:pos="340"/>
      </w:tabs>
      <w:spacing w:before="40" w:after="40"/>
    </w:pPr>
  </w:style>
  <w:style w:type="character" w:customStyle="1" w:styleId="SpecialBold">
    <w:name w:val="Special Bold"/>
    <w:basedOn w:val="DefaultParagraphFont"/>
    <w:rsid w:val="00B539AD"/>
    <w:rPr>
      <w:b/>
      <w:spacing w:val="0"/>
    </w:rPr>
  </w:style>
  <w:style w:type="paragraph" w:styleId="ListBullet2">
    <w:name w:val="List Bullet 2"/>
    <w:basedOn w:val="List2"/>
    <w:rsid w:val="00B539AD"/>
    <w:pPr>
      <w:numPr>
        <w:numId w:val="14"/>
      </w:numPr>
      <w:tabs>
        <w:tab w:val="clear" w:pos="680"/>
      </w:tabs>
    </w:pPr>
  </w:style>
  <w:style w:type="character" w:styleId="Emphasis">
    <w:name w:val="Emphasis"/>
    <w:basedOn w:val="DefaultParagraphFont"/>
    <w:qFormat/>
    <w:rsid w:val="00B539AD"/>
    <w:rPr>
      <w:i/>
    </w:rPr>
  </w:style>
  <w:style w:type="paragraph" w:customStyle="1" w:styleId="SuperHeading">
    <w:name w:val="SuperHeading"/>
    <w:basedOn w:val="Normal"/>
    <w:rsid w:val="00B539AD"/>
    <w:pPr>
      <w:spacing w:before="240" w:after="120"/>
      <w:outlineLvl w:val="0"/>
    </w:pPr>
    <w:rPr>
      <w:rFonts w:ascii="Times New Roman" w:hAnsi="Times New Roman"/>
      <w:b/>
      <w:sz w:val="32"/>
    </w:rPr>
  </w:style>
  <w:style w:type="paragraph" w:customStyle="1" w:styleId="AllowPageBreak">
    <w:name w:val="AllowPageBreak"/>
    <w:rsid w:val="00B539AD"/>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B539AD"/>
    <w:pPr>
      <w:numPr>
        <w:numId w:val="3"/>
      </w:numPr>
      <w:tabs>
        <w:tab w:val="clear" w:pos="1021"/>
      </w:tabs>
      <w:ind w:left="1037" w:hanging="357"/>
    </w:pPr>
  </w:style>
  <w:style w:type="character" w:customStyle="1" w:styleId="Heading2Char">
    <w:name w:val="Heading 2 Char"/>
    <w:basedOn w:val="DefaultParagraphFont"/>
    <w:link w:val="Heading2"/>
    <w:rsid w:val="00B539A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539A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539A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539A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539A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539A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539A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539AD"/>
    <w:rPr>
      <w:rFonts w:ascii="Courier New" w:eastAsia="Times New Roman" w:hAnsi="Courier New" w:cs="Times New Roman"/>
      <w:i/>
      <w:szCs w:val="20"/>
      <w:lang w:eastAsia="en-US"/>
    </w:rPr>
  </w:style>
  <w:style w:type="paragraph" w:customStyle="1" w:styleId="HeadingBase">
    <w:name w:val="Heading Base"/>
    <w:rsid w:val="00B539A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539AD"/>
    <w:pPr>
      <w:tabs>
        <w:tab w:val="right" w:leader="dot" w:pos="9072"/>
      </w:tabs>
      <w:ind w:left="567"/>
    </w:pPr>
    <w:rPr>
      <w:szCs w:val="22"/>
    </w:rPr>
  </w:style>
  <w:style w:type="paragraph" w:customStyle="1" w:styleId="TOCBase">
    <w:name w:val="TOC Base"/>
    <w:rsid w:val="00B539A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539AD"/>
    <w:pPr>
      <w:tabs>
        <w:tab w:val="right" w:leader="dot" w:pos="9072"/>
      </w:tabs>
      <w:spacing w:before="40" w:after="40"/>
      <w:ind w:left="284"/>
    </w:pPr>
    <w:rPr>
      <w:rFonts w:ascii="Times New Roman" w:hAnsi="Times New Roman"/>
    </w:rPr>
  </w:style>
  <w:style w:type="paragraph" w:styleId="TOC1">
    <w:name w:val="toc 1"/>
    <w:basedOn w:val="TOCBase"/>
    <w:next w:val="Normal"/>
    <w:rsid w:val="00B539A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539A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539AD"/>
    <w:rPr>
      <w:rFonts w:ascii="Times New Roman" w:eastAsia="Times New Roman" w:hAnsi="Times New Roman" w:cs="Times New Roman"/>
      <w:sz w:val="16"/>
      <w:lang w:eastAsia="en-US"/>
    </w:rPr>
  </w:style>
  <w:style w:type="paragraph" w:styleId="Title">
    <w:name w:val="Title"/>
    <w:basedOn w:val="HeadingBase"/>
    <w:link w:val="TitleChar"/>
    <w:qFormat/>
    <w:rsid w:val="00B539AD"/>
    <w:pPr>
      <w:spacing w:before="5040"/>
      <w:jc w:val="center"/>
    </w:pPr>
    <w:rPr>
      <w:sz w:val="48"/>
      <w:szCs w:val="72"/>
      <w:lang w:val="en-US"/>
    </w:rPr>
  </w:style>
  <w:style w:type="character" w:customStyle="1" w:styleId="TitleChar">
    <w:name w:val="Title Char"/>
    <w:basedOn w:val="DefaultParagraphFont"/>
    <w:link w:val="Title"/>
    <w:rsid w:val="00B539A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539AD"/>
    <w:pPr>
      <w:tabs>
        <w:tab w:val="left" w:pos="3600"/>
        <w:tab w:val="left" w:pos="3958"/>
      </w:tabs>
    </w:pPr>
  </w:style>
  <w:style w:type="paragraph" w:styleId="List">
    <w:name w:val="List"/>
    <w:basedOn w:val="BodyText"/>
    <w:next w:val="BodyText"/>
    <w:rsid w:val="00B539AD"/>
    <w:pPr>
      <w:tabs>
        <w:tab w:val="left" w:pos="340"/>
      </w:tabs>
      <w:spacing w:before="60" w:after="60"/>
      <w:ind w:left="340" w:hanging="340"/>
    </w:pPr>
  </w:style>
  <w:style w:type="paragraph" w:customStyle="1" w:styleId="Note">
    <w:name w:val="Note"/>
    <w:basedOn w:val="BodyText"/>
    <w:rsid w:val="00B539A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539AD"/>
    <w:pPr>
      <w:framePr w:wrap="auto" w:hAnchor="text" w:y="6049"/>
    </w:pPr>
    <w:rPr>
      <w:color w:val="000000"/>
      <w:sz w:val="40"/>
    </w:rPr>
  </w:style>
  <w:style w:type="paragraph" w:customStyle="1" w:styleId="TOCTitle">
    <w:name w:val="TOCTitle"/>
    <w:basedOn w:val="Heading1"/>
    <w:rsid w:val="00B539AD"/>
    <w:pPr>
      <w:spacing w:after="240"/>
      <w:jc w:val="center"/>
      <w:outlineLvl w:val="9"/>
    </w:pPr>
    <w:rPr>
      <w:caps/>
    </w:rPr>
  </w:style>
  <w:style w:type="paragraph" w:customStyle="1" w:styleId="Version">
    <w:name w:val="Version"/>
    <w:rsid w:val="00B539A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539AD"/>
    <w:pPr>
      <w:keepNext w:val="0"/>
      <w:tabs>
        <w:tab w:val="right" w:pos="4176"/>
      </w:tabs>
      <w:ind w:left="198" w:hanging="198"/>
    </w:pPr>
    <w:rPr>
      <w:rFonts w:ascii="Garamond" w:hAnsi="Garamond"/>
    </w:rPr>
  </w:style>
  <w:style w:type="paragraph" w:styleId="IndexHeading">
    <w:name w:val="index heading"/>
    <w:basedOn w:val="Normal"/>
    <w:next w:val="Index1"/>
    <w:semiHidden/>
    <w:rsid w:val="00B539AD"/>
    <w:pPr>
      <w:spacing w:before="120" w:after="120"/>
    </w:pPr>
    <w:rPr>
      <w:rFonts w:ascii="Arial" w:hAnsi="Arial"/>
      <w:b/>
      <w:color w:val="918585"/>
      <w:sz w:val="24"/>
    </w:rPr>
  </w:style>
  <w:style w:type="paragraph" w:styleId="Header">
    <w:name w:val="header"/>
    <w:basedOn w:val="Normal"/>
    <w:link w:val="HeaderChar"/>
    <w:rsid w:val="00B539A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539AD"/>
    <w:rPr>
      <w:rFonts w:ascii="Times New Roman" w:eastAsia="Times New Roman" w:hAnsi="Times New Roman" w:cs="Times New Roman"/>
      <w:sz w:val="16"/>
      <w:szCs w:val="20"/>
      <w:lang w:val="en-GB" w:eastAsia="en-US"/>
    </w:rPr>
  </w:style>
  <w:style w:type="paragraph" w:customStyle="1" w:styleId="Chapter">
    <w:name w:val="Chapter"/>
    <w:basedOn w:val="Normal"/>
    <w:rsid w:val="00B539AD"/>
    <w:pPr>
      <w:spacing w:before="240"/>
    </w:pPr>
    <w:rPr>
      <w:rFonts w:ascii="Times New Roman" w:hAnsi="Times New Roman"/>
      <w:smallCaps/>
      <w:spacing w:val="80"/>
      <w:sz w:val="28"/>
    </w:rPr>
  </w:style>
  <w:style w:type="paragraph" w:customStyle="1" w:styleId="InChapter">
    <w:name w:val="InChapter"/>
    <w:basedOn w:val="Heading3"/>
    <w:rsid w:val="00B539AD"/>
    <w:pPr>
      <w:spacing w:after="240"/>
      <w:outlineLvl w:val="9"/>
    </w:pPr>
    <w:rPr>
      <w:noProof/>
    </w:rPr>
  </w:style>
  <w:style w:type="paragraph" w:styleId="Index2">
    <w:name w:val="index 2"/>
    <w:basedOn w:val="Normal"/>
    <w:next w:val="Normal"/>
    <w:semiHidden/>
    <w:rsid w:val="00B539AD"/>
    <w:pPr>
      <w:tabs>
        <w:tab w:val="right" w:pos="4176"/>
      </w:tabs>
      <w:ind w:left="568" w:hanging="284"/>
    </w:pPr>
    <w:rPr>
      <w:rFonts w:ascii="Garamond" w:hAnsi="Garamond"/>
    </w:rPr>
  </w:style>
  <w:style w:type="paragraph" w:customStyle="1" w:styleId="Byline">
    <w:name w:val="Byline"/>
    <w:rsid w:val="00B539A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539AD"/>
    <w:pPr>
      <w:tabs>
        <w:tab w:val="clear" w:pos="3600"/>
        <w:tab w:val="clear" w:pos="3958"/>
      </w:tabs>
      <w:jc w:val="right"/>
    </w:pPr>
  </w:style>
  <w:style w:type="paragraph" w:styleId="Caption">
    <w:name w:val="caption"/>
    <w:basedOn w:val="BodyText"/>
    <w:next w:val="Normal"/>
    <w:qFormat/>
    <w:rsid w:val="00B539AD"/>
    <w:pPr>
      <w:framePr w:w="2268" w:hSpace="181" w:vSpace="181" w:wrap="around" w:vAnchor="text" w:hAnchor="page" w:x="1135" w:y="285" w:anchorLock="1"/>
    </w:pPr>
    <w:rPr>
      <w:i/>
    </w:rPr>
  </w:style>
  <w:style w:type="paragraph" w:customStyle="1" w:styleId="MiniTOCTitle">
    <w:name w:val="MiniTOCTitle"/>
    <w:basedOn w:val="Heading4"/>
    <w:rsid w:val="00B539AD"/>
    <w:pPr>
      <w:spacing w:before="240"/>
      <w:outlineLvl w:val="9"/>
    </w:pPr>
    <w:rPr>
      <w:noProof/>
      <w:sz w:val="24"/>
    </w:rPr>
  </w:style>
  <w:style w:type="paragraph" w:customStyle="1" w:styleId="MiniTOCItem">
    <w:name w:val="MiniTOCItem"/>
    <w:basedOn w:val="ListBullet"/>
    <w:rsid w:val="00B539AD"/>
    <w:pPr>
      <w:numPr>
        <w:numId w:val="0"/>
      </w:numPr>
      <w:tabs>
        <w:tab w:val="right" w:leader="dot" w:pos="6521"/>
      </w:tabs>
      <w:spacing w:before="0" w:after="0"/>
    </w:pPr>
  </w:style>
  <w:style w:type="paragraph" w:customStyle="1" w:styleId="TOFTitle">
    <w:name w:val="TOFTitle"/>
    <w:basedOn w:val="TOCTitle"/>
    <w:rsid w:val="00B539AD"/>
  </w:style>
  <w:style w:type="paragraph" w:styleId="TableofFigures">
    <w:name w:val="table of figures"/>
    <w:basedOn w:val="Normal"/>
    <w:next w:val="Normal"/>
    <w:semiHidden/>
    <w:rsid w:val="00B539AD"/>
    <w:pPr>
      <w:tabs>
        <w:tab w:val="right" w:leader="dot" w:pos="9072"/>
      </w:tabs>
      <w:ind w:left="970" w:hanging="403"/>
    </w:pPr>
    <w:rPr>
      <w:rFonts w:ascii="Times New Roman" w:hAnsi="Times New Roman"/>
      <w:b/>
    </w:rPr>
  </w:style>
  <w:style w:type="paragraph" w:styleId="ListNumber">
    <w:name w:val="List Number"/>
    <w:basedOn w:val="List"/>
    <w:rsid w:val="00B539AD"/>
    <w:pPr>
      <w:numPr>
        <w:numId w:val="16"/>
      </w:numPr>
      <w:tabs>
        <w:tab w:val="clear" w:pos="340"/>
      </w:tabs>
    </w:pPr>
  </w:style>
  <w:style w:type="character" w:customStyle="1" w:styleId="WingdingSymbols">
    <w:name w:val="Wingding Symbols"/>
    <w:rsid w:val="00B539AD"/>
    <w:rPr>
      <w:rFonts w:ascii="Wingdings" w:hAnsi="Wingdings"/>
    </w:rPr>
  </w:style>
  <w:style w:type="paragraph" w:customStyle="1" w:styleId="TableHeading">
    <w:name w:val="Table Heading"/>
    <w:basedOn w:val="HeadingBase"/>
    <w:rsid w:val="00B539AD"/>
    <w:pPr>
      <w:keepLines/>
      <w:pBdr>
        <w:bottom w:val="single" w:sz="6" w:space="1" w:color="918585"/>
      </w:pBdr>
      <w:spacing w:before="240"/>
    </w:pPr>
  </w:style>
  <w:style w:type="character" w:customStyle="1" w:styleId="HotSpot">
    <w:name w:val="HotSpot"/>
    <w:rsid w:val="00B539AD"/>
    <w:rPr>
      <w:color w:val="0033CC"/>
      <w:u w:val="none"/>
    </w:rPr>
  </w:style>
  <w:style w:type="paragraph" w:customStyle="1" w:styleId="BodyTextRight">
    <w:name w:val="Body Text Right"/>
    <w:basedOn w:val="BodyText"/>
    <w:rsid w:val="00B539AD"/>
    <w:pPr>
      <w:spacing w:before="0" w:after="0"/>
      <w:jc w:val="right"/>
    </w:pPr>
  </w:style>
  <w:style w:type="paragraph" w:styleId="Index3">
    <w:name w:val="index 3"/>
    <w:basedOn w:val="ListNumber2"/>
    <w:next w:val="Normal"/>
    <w:semiHidden/>
    <w:rsid w:val="00B539AD"/>
    <w:pPr>
      <w:numPr>
        <w:numId w:val="0"/>
      </w:numPr>
      <w:tabs>
        <w:tab w:val="right" w:leader="dot" w:pos="4176"/>
      </w:tabs>
    </w:pPr>
  </w:style>
  <w:style w:type="paragraph" w:styleId="ListNumber2">
    <w:name w:val="List Number 2"/>
    <w:basedOn w:val="List2"/>
    <w:rsid w:val="00B539AD"/>
    <w:pPr>
      <w:numPr>
        <w:numId w:val="11"/>
      </w:numPr>
      <w:tabs>
        <w:tab w:val="clear" w:pos="1060"/>
      </w:tabs>
    </w:pPr>
  </w:style>
  <w:style w:type="paragraph" w:customStyle="1" w:styleId="MarginNote">
    <w:name w:val="Margin Note"/>
    <w:basedOn w:val="BodyText"/>
    <w:rsid w:val="00B539A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539A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539A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539AD"/>
    <w:rPr>
      <w:sz w:val="32"/>
    </w:rPr>
  </w:style>
  <w:style w:type="paragraph" w:customStyle="1" w:styleId="HeadingProcedure">
    <w:name w:val="Heading Procedure"/>
    <w:basedOn w:val="HeadingBase"/>
    <w:next w:val="Normal"/>
    <w:rsid w:val="00B539AD"/>
    <w:pPr>
      <w:tabs>
        <w:tab w:val="left" w:pos="0"/>
      </w:tabs>
      <w:spacing w:before="120" w:after="60"/>
    </w:pPr>
    <w:rPr>
      <w:i/>
      <w:color w:val="918585"/>
      <w:sz w:val="22"/>
    </w:rPr>
  </w:style>
  <w:style w:type="paragraph" w:customStyle="1" w:styleId="TableBodyText">
    <w:name w:val="Table Body Text"/>
    <w:basedOn w:val="BodyText"/>
    <w:rsid w:val="00B539AD"/>
    <w:pPr>
      <w:spacing w:before="60" w:after="60"/>
    </w:pPr>
  </w:style>
  <w:style w:type="paragraph" w:styleId="ListContinue">
    <w:name w:val="List Continue"/>
    <w:basedOn w:val="List"/>
    <w:rsid w:val="00B539AD"/>
    <w:pPr>
      <w:ind w:firstLine="0"/>
    </w:pPr>
  </w:style>
  <w:style w:type="paragraph" w:customStyle="1" w:styleId="ListNote">
    <w:name w:val="List Note"/>
    <w:basedOn w:val="List"/>
    <w:rsid w:val="00B539AD"/>
    <w:pPr>
      <w:pBdr>
        <w:top w:val="single" w:sz="6" w:space="2" w:color="918585"/>
        <w:bottom w:val="single" w:sz="6" w:space="2" w:color="918585"/>
      </w:pBdr>
      <w:tabs>
        <w:tab w:val="left" w:pos="1021"/>
      </w:tabs>
      <w:ind w:firstLine="0"/>
    </w:pPr>
  </w:style>
  <w:style w:type="paragraph" w:customStyle="1" w:styleId="Warning">
    <w:name w:val="Warning"/>
    <w:basedOn w:val="BodyText"/>
    <w:rsid w:val="00B539AD"/>
    <w:pPr>
      <w:shd w:val="clear" w:color="auto" w:fill="D9D9D9"/>
      <w:tabs>
        <w:tab w:val="left" w:pos="992"/>
      </w:tabs>
      <w:ind w:left="119" w:right="119"/>
    </w:pPr>
    <w:rPr>
      <w:sz w:val="20"/>
    </w:rPr>
  </w:style>
  <w:style w:type="paragraph" w:customStyle="1" w:styleId="MarginIcons">
    <w:name w:val="Margin Icons"/>
    <w:basedOn w:val="BodyText"/>
    <w:rsid w:val="00B539A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539AD"/>
    <w:rPr>
      <w:rFonts w:ascii="Courier New" w:hAnsi="Courier New"/>
    </w:rPr>
  </w:style>
  <w:style w:type="paragraph" w:customStyle="1" w:styleId="NoteBullet">
    <w:name w:val="Note Bullet"/>
    <w:basedOn w:val="Note"/>
    <w:rsid w:val="00B539AD"/>
    <w:pPr>
      <w:tabs>
        <w:tab w:val="clear" w:pos="680"/>
      </w:tabs>
      <w:spacing w:before="60" w:after="60"/>
    </w:pPr>
  </w:style>
  <w:style w:type="paragraph" w:customStyle="1" w:styleId="SubHeading2">
    <w:name w:val="SubHeading2"/>
    <w:basedOn w:val="HeadingBase"/>
    <w:rsid w:val="00B539AD"/>
    <w:pPr>
      <w:spacing w:before="240" w:after="60"/>
    </w:pPr>
    <w:rPr>
      <w:sz w:val="20"/>
    </w:rPr>
  </w:style>
  <w:style w:type="paragraph" w:customStyle="1" w:styleId="SubHeading1">
    <w:name w:val="SubHeading1"/>
    <w:basedOn w:val="HeadingBase"/>
    <w:rsid w:val="00B539AD"/>
    <w:pPr>
      <w:spacing w:before="240" w:after="60"/>
    </w:pPr>
    <w:rPr>
      <w:color w:val="918585"/>
      <w:sz w:val="22"/>
    </w:rPr>
  </w:style>
  <w:style w:type="paragraph" w:customStyle="1" w:styleId="SideHeading">
    <w:name w:val="Side Heading"/>
    <w:basedOn w:val="HeadingBase"/>
    <w:rsid w:val="00B539AD"/>
    <w:pPr>
      <w:framePr w:w="2268" w:h="567" w:hSpace="181" w:vSpace="181" w:wrap="around" w:vAnchor="text" w:hAnchor="page" w:x="1419" w:y="370" w:anchorLock="1"/>
    </w:pPr>
    <w:rPr>
      <w:sz w:val="22"/>
    </w:rPr>
  </w:style>
  <w:style w:type="paragraph" w:customStyle="1" w:styleId="TableListBullet">
    <w:name w:val="Table List Bullet"/>
    <w:basedOn w:val="ListBullet"/>
    <w:rsid w:val="00B539AD"/>
    <w:pPr>
      <w:numPr>
        <w:numId w:val="12"/>
      </w:numPr>
    </w:pPr>
  </w:style>
  <w:style w:type="paragraph" w:styleId="PlainText">
    <w:name w:val="Plain Text"/>
    <w:basedOn w:val="Normal"/>
    <w:link w:val="PlainTextChar"/>
    <w:rsid w:val="00B539AD"/>
    <w:rPr>
      <w:sz w:val="20"/>
    </w:rPr>
  </w:style>
  <w:style w:type="character" w:customStyle="1" w:styleId="PlainTextChar">
    <w:name w:val="Plain Text Char"/>
    <w:basedOn w:val="DefaultParagraphFont"/>
    <w:link w:val="PlainText"/>
    <w:rsid w:val="00B539AD"/>
    <w:rPr>
      <w:rFonts w:ascii="Courier New" w:eastAsia="Times New Roman" w:hAnsi="Courier New" w:cs="Times New Roman"/>
      <w:sz w:val="20"/>
      <w:szCs w:val="20"/>
      <w:lang w:eastAsia="en-US"/>
    </w:rPr>
  </w:style>
  <w:style w:type="character" w:customStyle="1" w:styleId="MenuOption">
    <w:name w:val="Menu Option"/>
    <w:basedOn w:val="DefaultParagraphFont"/>
    <w:rsid w:val="00B539AD"/>
    <w:rPr>
      <w:b/>
      <w:smallCaps/>
    </w:rPr>
  </w:style>
  <w:style w:type="paragraph" w:customStyle="1" w:styleId="TableListNumber">
    <w:name w:val="Table List Number"/>
    <w:basedOn w:val="ListNumber"/>
    <w:rsid w:val="00B539AD"/>
    <w:pPr>
      <w:numPr>
        <w:numId w:val="0"/>
      </w:numPr>
    </w:pPr>
  </w:style>
  <w:style w:type="paragraph" w:styleId="TOC4">
    <w:name w:val="toc 4"/>
    <w:basedOn w:val="TOCBase"/>
    <w:next w:val="Normal"/>
    <w:semiHidden/>
    <w:rsid w:val="00B539AD"/>
    <w:pPr>
      <w:tabs>
        <w:tab w:val="right" w:leader="dot" w:pos="9071"/>
      </w:tabs>
      <w:ind w:left="1701"/>
    </w:pPr>
  </w:style>
  <w:style w:type="paragraph" w:customStyle="1" w:styleId="ListAlpha">
    <w:name w:val="List Alpha"/>
    <w:basedOn w:val="List"/>
    <w:rsid w:val="00B539AD"/>
    <w:pPr>
      <w:numPr>
        <w:numId w:val="10"/>
      </w:numPr>
    </w:pPr>
  </w:style>
  <w:style w:type="paragraph" w:customStyle="1" w:styleId="ListAlpha2">
    <w:name w:val="List Alpha 2"/>
    <w:basedOn w:val="List2"/>
    <w:rsid w:val="00B539AD"/>
    <w:pPr>
      <w:numPr>
        <w:numId w:val="9"/>
      </w:numPr>
    </w:pPr>
  </w:style>
  <w:style w:type="paragraph" w:styleId="List2">
    <w:name w:val="List 2"/>
    <w:basedOn w:val="BodyText"/>
    <w:rsid w:val="00B539AD"/>
    <w:pPr>
      <w:tabs>
        <w:tab w:val="left" w:pos="680"/>
      </w:tabs>
      <w:spacing w:before="60" w:after="60"/>
      <w:ind w:left="680" w:hanging="340"/>
    </w:pPr>
  </w:style>
  <w:style w:type="paragraph" w:styleId="List3">
    <w:name w:val="List 3"/>
    <w:basedOn w:val="BodyText"/>
    <w:rsid w:val="00B539AD"/>
    <w:pPr>
      <w:tabs>
        <w:tab w:val="left" w:pos="1021"/>
      </w:tabs>
      <w:spacing w:before="60" w:after="60"/>
      <w:ind w:left="1020" w:hanging="340"/>
    </w:pPr>
  </w:style>
  <w:style w:type="paragraph" w:styleId="List4">
    <w:name w:val="List 4"/>
    <w:basedOn w:val="BodyText"/>
    <w:rsid w:val="00B539AD"/>
    <w:pPr>
      <w:tabs>
        <w:tab w:val="left" w:pos="1361"/>
      </w:tabs>
      <w:spacing w:before="60" w:after="60"/>
      <w:ind w:left="1361" w:hanging="340"/>
    </w:pPr>
  </w:style>
  <w:style w:type="paragraph" w:styleId="List5">
    <w:name w:val="List 5"/>
    <w:basedOn w:val="BodyText"/>
    <w:rsid w:val="00B539AD"/>
    <w:pPr>
      <w:tabs>
        <w:tab w:val="left" w:pos="1701"/>
      </w:tabs>
      <w:spacing w:before="60" w:after="60"/>
      <w:ind w:left="1701" w:hanging="340"/>
    </w:pPr>
  </w:style>
  <w:style w:type="paragraph" w:styleId="ListBullet4">
    <w:name w:val="List Bullet 4"/>
    <w:basedOn w:val="List4"/>
    <w:rsid w:val="00B539AD"/>
    <w:pPr>
      <w:numPr>
        <w:numId w:val="4"/>
      </w:numPr>
      <w:tabs>
        <w:tab w:val="clear" w:pos="1361"/>
      </w:tabs>
    </w:pPr>
  </w:style>
  <w:style w:type="paragraph" w:styleId="ListBullet5">
    <w:name w:val="List Bullet 5"/>
    <w:basedOn w:val="List5"/>
    <w:rsid w:val="00B539AD"/>
    <w:pPr>
      <w:numPr>
        <w:numId w:val="5"/>
      </w:numPr>
    </w:pPr>
  </w:style>
  <w:style w:type="paragraph" w:styleId="ListContinue2">
    <w:name w:val="List Continue 2"/>
    <w:basedOn w:val="List2"/>
    <w:rsid w:val="00B539AD"/>
    <w:pPr>
      <w:ind w:firstLine="0"/>
    </w:pPr>
  </w:style>
  <w:style w:type="paragraph" w:styleId="ListContinue3">
    <w:name w:val="List Continue 3"/>
    <w:basedOn w:val="List3"/>
    <w:rsid w:val="00B539AD"/>
    <w:pPr>
      <w:ind w:left="1021" w:firstLine="0"/>
    </w:pPr>
  </w:style>
  <w:style w:type="paragraph" w:styleId="ListContinue4">
    <w:name w:val="List Continue 4"/>
    <w:basedOn w:val="List4"/>
    <w:rsid w:val="00B539AD"/>
    <w:pPr>
      <w:ind w:firstLine="0"/>
    </w:pPr>
  </w:style>
  <w:style w:type="paragraph" w:styleId="ListContinue5">
    <w:name w:val="List Continue 5"/>
    <w:basedOn w:val="List5"/>
    <w:rsid w:val="00B539AD"/>
    <w:pPr>
      <w:ind w:firstLine="0"/>
    </w:pPr>
  </w:style>
  <w:style w:type="paragraph" w:styleId="ListNumber3">
    <w:name w:val="List Number 3"/>
    <w:basedOn w:val="List3"/>
    <w:rsid w:val="00B539AD"/>
    <w:pPr>
      <w:numPr>
        <w:numId w:val="6"/>
      </w:numPr>
    </w:pPr>
  </w:style>
  <w:style w:type="paragraph" w:styleId="ListNumber4">
    <w:name w:val="List Number 4"/>
    <w:basedOn w:val="List4"/>
    <w:rsid w:val="00B539AD"/>
    <w:pPr>
      <w:numPr>
        <w:numId w:val="7"/>
      </w:numPr>
    </w:pPr>
  </w:style>
  <w:style w:type="paragraph" w:styleId="ListNumber5">
    <w:name w:val="List Number 5"/>
    <w:basedOn w:val="List5"/>
    <w:rsid w:val="00B539AD"/>
    <w:pPr>
      <w:numPr>
        <w:numId w:val="8"/>
      </w:numPr>
    </w:pPr>
  </w:style>
  <w:style w:type="paragraph" w:styleId="BlockText">
    <w:name w:val="Block Text"/>
    <w:basedOn w:val="Normal"/>
    <w:rsid w:val="00B539AD"/>
    <w:pPr>
      <w:spacing w:after="120"/>
      <w:ind w:left="1440" w:right="1440"/>
    </w:pPr>
  </w:style>
  <w:style w:type="character" w:customStyle="1" w:styleId="Subscript">
    <w:name w:val="Subscript"/>
    <w:basedOn w:val="DefaultParagraphFont"/>
    <w:rsid w:val="00B539AD"/>
    <w:rPr>
      <w:sz w:val="16"/>
      <w:vertAlign w:val="subscript"/>
    </w:rPr>
  </w:style>
  <w:style w:type="character" w:customStyle="1" w:styleId="Superscript">
    <w:name w:val="Superscript"/>
    <w:basedOn w:val="DefaultParagraphFont"/>
    <w:rsid w:val="00B539AD"/>
    <w:rPr>
      <w:sz w:val="16"/>
      <w:vertAlign w:val="superscript"/>
    </w:rPr>
  </w:style>
  <w:style w:type="character" w:customStyle="1" w:styleId="Symbols">
    <w:name w:val="Symbols"/>
    <w:basedOn w:val="DefaultParagraphFont"/>
    <w:rsid w:val="00B539AD"/>
    <w:rPr>
      <w:rFonts w:ascii="Symbol" w:hAnsi="Symbol"/>
    </w:rPr>
  </w:style>
  <w:style w:type="character" w:customStyle="1" w:styleId="MenuOptions">
    <w:name w:val="Menu Options"/>
    <w:basedOn w:val="DefaultParagraphFont"/>
    <w:rsid w:val="00B539AD"/>
    <w:rPr>
      <w:rFonts w:ascii="Arial Narrow" w:hAnsi="Arial Narrow"/>
      <w:smallCaps/>
    </w:rPr>
  </w:style>
  <w:style w:type="character" w:customStyle="1" w:styleId="Buttons">
    <w:name w:val="Buttons"/>
    <w:basedOn w:val="DefaultParagraphFont"/>
    <w:rsid w:val="00B539AD"/>
    <w:rPr>
      <w:b/>
    </w:rPr>
  </w:style>
  <w:style w:type="character" w:customStyle="1" w:styleId="Underlined">
    <w:name w:val="Underlined"/>
    <w:basedOn w:val="DefaultParagraphFont"/>
    <w:rsid w:val="00B539AD"/>
    <w:rPr>
      <w:u w:val="single"/>
    </w:rPr>
  </w:style>
  <w:style w:type="paragraph" w:customStyle="1" w:styleId="TableBodyTextRight">
    <w:name w:val="Table Body Text Right"/>
    <w:basedOn w:val="TableBodyText"/>
    <w:rsid w:val="00B539AD"/>
    <w:pPr>
      <w:widowControl w:val="0"/>
      <w:autoSpaceDE w:val="0"/>
      <w:autoSpaceDN w:val="0"/>
      <w:adjustRightInd w:val="0"/>
      <w:jc w:val="right"/>
    </w:pPr>
    <w:rPr>
      <w:rFonts w:cs="Arial"/>
      <w:szCs w:val="18"/>
    </w:rPr>
  </w:style>
  <w:style w:type="paragraph" w:customStyle="1" w:styleId="CopyrightText">
    <w:name w:val="Copyright Text"/>
    <w:basedOn w:val="BodyText"/>
    <w:rsid w:val="00B539AD"/>
    <w:rPr>
      <w:sz w:val="18"/>
    </w:rPr>
  </w:style>
  <w:style w:type="paragraph" w:customStyle="1" w:styleId="BodySmallRight">
    <w:name w:val="Body Small Right"/>
    <w:basedOn w:val="BodyTextRight"/>
    <w:rsid w:val="00B539AD"/>
    <w:rPr>
      <w:sz w:val="18"/>
      <w:szCs w:val="18"/>
    </w:rPr>
  </w:style>
  <w:style w:type="paragraph" w:customStyle="1" w:styleId="MarginEdition">
    <w:name w:val="Margin Edition"/>
    <w:basedOn w:val="MarginNote"/>
    <w:rsid w:val="00B539AD"/>
    <w:pPr>
      <w:spacing w:before="0" w:after="0"/>
    </w:pPr>
    <w:rPr>
      <w:rFonts w:ascii="Times New Roman" w:hAnsi="Times New Roman"/>
      <w:color w:val="999999"/>
    </w:rPr>
  </w:style>
  <w:style w:type="paragraph" w:customStyle="1" w:styleId="Spacer">
    <w:name w:val="Spacer"/>
    <w:basedOn w:val="Normal"/>
    <w:rsid w:val="00B539AD"/>
    <w:rPr>
      <w:sz w:val="2"/>
      <w:szCs w:val="2"/>
    </w:rPr>
  </w:style>
  <w:style w:type="character" w:customStyle="1" w:styleId="Small">
    <w:name w:val="Small"/>
    <w:basedOn w:val="DefaultParagraphFont"/>
    <w:rsid w:val="00B539AD"/>
    <w:rPr>
      <w:sz w:val="16"/>
    </w:rPr>
  </w:style>
  <w:style w:type="paragraph" w:customStyle="1" w:styleId="WideTable">
    <w:name w:val="Wide Table"/>
    <w:basedOn w:val="Normal"/>
    <w:rsid w:val="00B539AD"/>
    <w:pPr>
      <w:ind w:left="-1418"/>
    </w:pPr>
    <w:rPr>
      <w:sz w:val="2"/>
      <w:szCs w:val="2"/>
    </w:rPr>
  </w:style>
  <w:style w:type="character" w:styleId="PageNumber">
    <w:name w:val="page number"/>
    <w:basedOn w:val="DefaultParagraphFont"/>
    <w:rsid w:val="00B539AD"/>
  </w:style>
  <w:style w:type="paragraph" w:styleId="Quote">
    <w:name w:val="Quote"/>
    <w:basedOn w:val="Heading1"/>
    <w:link w:val="QuoteChar"/>
    <w:qFormat/>
    <w:rsid w:val="00B539AD"/>
    <w:rPr>
      <w:b w:val="0"/>
      <w:sz w:val="72"/>
      <w:szCs w:val="72"/>
      <w:lang w:val="en-NZ"/>
    </w:rPr>
  </w:style>
  <w:style w:type="character" w:customStyle="1" w:styleId="QuoteChar">
    <w:name w:val="Quote Char"/>
    <w:basedOn w:val="DefaultParagraphFont"/>
    <w:link w:val="Quote"/>
    <w:rsid w:val="00B539A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539AD"/>
    <w:pPr>
      <w:pageBreakBefore/>
    </w:pPr>
  </w:style>
  <w:style w:type="paragraph" w:customStyle="1" w:styleId="Border">
    <w:name w:val="Border"/>
    <w:basedOn w:val="Normal"/>
    <w:qFormat/>
    <w:rsid w:val="00B539A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539AD"/>
    <w:rPr>
      <w:b/>
      <w:bCs/>
      <w:i/>
      <w:iCs/>
      <w:color w:val="auto"/>
    </w:rPr>
  </w:style>
  <w:style w:type="paragraph" w:styleId="IntenseQuote">
    <w:name w:val="Intense Quote"/>
    <w:basedOn w:val="Normal"/>
    <w:next w:val="Normal"/>
    <w:link w:val="IntenseQuoteChar"/>
    <w:uiPriority w:val="30"/>
    <w:qFormat/>
    <w:rsid w:val="00B539A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539A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539AD"/>
    <w:rPr>
      <w:smallCaps/>
      <w:color w:val="auto"/>
      <w:u w:val="single"/>
    </w:rPr>
  </w:style>
  <w:style w:type="character" w:styleId="IntenseReference">
    <w:name w:val="Intense Reference"/>
    <w:basedOn w:val="DefaultParagraphFont"/>
    <w:uiPriority w:val="32"/>
    <w:qFormat/>
    <w:rsid w:val="00B539AD"/>
    <w:rPr>
      <w:b/>
      <w:bCs/>
      <w:smallCaps/>
      <w:color w:val="auto"/>
      <w:spacing w:val="5"/>
      <w:u w:val="single"/>
    </w:rPr>
  </w:style>
  <w:style w:type="paragraph" w:customStyle="1" w:styleId="2ColumnHeading">
    <w:name w:val="2Column Heading"/>
    <w:basedOn w:val="BodyText"/>
    <w:qFormat/>
    <w:rsid w:val="00B539AD"/>
    <w:pPr>
      <w:spacing w:after="60"/>
      <w:ind w:left="-2268"/>
    </w:pPr>
    <w:rPr>
      <w:b/>
    </w:rPr>
  </w:style>
  <w:style w:type="paragraph" w:customStyle="1" w:styleId="Heading1TOC">
    <w:name w:val="Heading1 TOC"/>
    <w:basedOn w:val="Normal"/>
    <w:qFormat/>
    <w:rsid w:val="00B539AD"/>
    <w:pPr>
      <w:spacing w:before="240" w:after="120"/>
    </w:pPr>
    <w:rPr>
      <w:rFonts w:ascii="Times New Roman" w:hAnsi="Times New Roman"/>
      <w:b/>
      <w:sz w:val="32"/>
    </w:rPr>
  </w:style>
  <w:style w:type="paragraph" w:customStyle="1" w:styleId="Heading2TOC">
    <w:name w:val="Heading2 TOC"/>
    <w:basedOn w:val="Normal"/>
    <w:qFormat/>
    <w:rsid w:val="00B539AD"/>
    <w:pPr>
      <w:spacing w:before="240" w:after="60"/>
    </w:pPr>
    <w:rPr>
      <w:rFonts w:ascii="Times New Roman" w:hAnsi="Times New Roman"/>
      <w:b/>
      <w:sz w:val="28"/>
    </w:rPr>
  </w:style>
  <w:style w:type="character" w:customStyle="1" w:styleId="Underline">
    <w:name w:val="Underline"/>
    <w:basedOn w:val="DefaultParagraphFont"/>
    <w:qFormat/>
    <w:rsid w:val="00B539AD"/>
    <w:rPr>
      <w:u w:val="single"/>
    </w:rPr>
  </w:style>
  <w:style w:type="character" w:customStyle="1" w:styleId="BoldandItalics">
    <w:name w:val="Bold and Italics"/>
    <w:qFormat/>
    <w:rsid w:val="00B539AD"/>
    <w:rPr>
      <w:b/>
      <w:i/>
      <w:u w:val="none"/>
    </w:rPr>
  </w:style>
  <w:style w:type="paragraph" w:styleId="BalloonText">
    <w:name w:val="Balloon Text"/>
    <w:basedOn w:val="Normal"/>
    <w:link w:val="BalloonTextChar"/>
    <w:rsid w:val="00B539AD"/>
    <w:rPr>
      <w:rFonts w:ascii="Tahoma" w:hAnsi="Tahoma" w:cs="Tahoma"/>
      <w:sz w:val="16"/>
      <w:szCs w:val="16"/>
    </w:rPr>
  </w:style>
  <w:style w:type="character" w:customStyle="1" w:styleId="BalloonTextChar">
    <w:name w:val="Balloon Text Char"/>
    <w:basedOn w:val="DefaultParagraphFont"/>
    <w:link w:val="BalloonText"/>
    <w:rsid w:val="00B539A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539A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539A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539AD"/>
    <w:rPr>
      <w:b/>
      <w:color w:val="660033"/>
      <w:spacing w:val="0"/>
    </w:rPr>
  </w:style>
  <w:style w:type="paragraph" w:customStyle="1" w:styleId="Nameditemlist">
    <w:name w:val="Named item list"/>
    <w:basedOn w:val="BodyText"/>
    <w:qFormat/>
    <w:rsid w:val="00B539AD"/>
    <w:pPr>
      <w:tabs>
        <w:tab w:val="left" w:pos="2835"/>
      </w:tabs>
      <w:ind w:left="2835" w:hanging="2835"/>
    </w:pPr>
  </w:style>
  <w:style w:type="paragraph" w:customStyle="1" w:styleId="BodyTextnopadding">
    <w:name w:val="Body Text no padding"/>
    <w:basedOn w:val="BodyText"/>
    <w:qFormat/>
    <w:rsid w:val="00B539AD"/>
    <w:pPr>
      <w:spacing w:before="0" w:after="0"/>
    </w:pPr>
  </w:style>
  <w:style w:type="paragraph" w:customStyle="1" w:styleId="BodyTextBold">
    <w:name w:val="Body Text Bold"/>
    <w:basedOn w:val="BodyText"/>
    <w:qFormat/>
    <w:rsid w:val="00B539AD"/>
    <w:rPr>
      <w:b/>
    </w:rPr>
  </w:style>
  <w:style w:type="character" w:styleId="Hyperlink">
    <w:name w:val="Hyperlink"/>
    <w:basedOn w:val="DefaultParagraphFont"/>
    <w:uiPriority w:val="99"/>
    <w:unhideWhenUsed/>
    <w:rsid w:val="002F75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ed1390f-48d9-4ab0-bd50-b015e548570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818</Words>
  <Characters>5322</Characters>
  <Application>Microsoft Office Word</Application>
  <DocSecurity>0</DocSecurity>
  <Lines>140</Lines>
  <Paragraphs>107</Paragraphs>
  <ScaleCrop>false</ScaleCrop>
  <Company>Author-it Software Corporation Ltd.</Company>
  <LinksUpToDate>false</LinksUpToDate>
  <CharactersWithSpaces>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HLTHPS009 Perform peripheral intravenous cannulation</dc:title>
  <dc:subject>Approved</dc:subject>
  <dc:creator>SkillsIQ</dc:creator>
  <cp:keywords>Release: 1</cp:keywords>
  <dc:description>Review Date: 12 April 2008</dc:description>
  <cp:lastModifiedBy>HSD_TPCMSd.prod</cp:lastModifiedBy>
  <cp:revision>3</cp:revision>
  <dcterms:created xsi:type="dcterms:W3CDTF">2023-07-02T02:41:00Z</dcterms:created>
  <dcterms:modified xsi:type="dcterms:W3CDTF">2023-07-02T02:41:00Z</dcterms:modified>
</cp:coreProperties>
</file>