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D75" w:rsidRDefault="00632D75" w:rsidP="00632D75">
      <w:pPr>
        <w:pStyle w:val="Title"/>
      </w:pPr>
      <w:fldSimple w:instr=" TITLE   \* MERGEFORMAT ">
        <w:r>
          <w:t>HLTHPS001 Take clinical measurements</w:t>
        </w:r>
      </w:fldSimple>
    </w:p>
    <w:p w:rsidR="00632D75" w:rsidRDefault="00632D75" w:rsidP="00632D75">
      <w:pPr>
        <w:pStyle w:val="Version"/>
        <w:sectPr w:rsidR="00632D75" w:rsidSect="00E9571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E9571A" w:rsidRDefault="00632D75" w:rsidP="00E9571A">
      <w:pPr>
        <w:pStyle w:val="SuperHeading"/>
      </w:pPr>
      <w:r w:rsidRPr="00E9571A">
        <w:lastRenderedPageBreak/>
        <w:t>HLTHPS001 Take clinical measurements</w:t>
      </w:r>
    </w:p>
    <w:p w:rsidR="00000000" w:rsidRPr="00E9571A" w:rsidRDefault="00632D75" w:rsidP="00E9571A">
      <w:pPr>
        <w:pStyle w:val="Heading1"/>
      </w:pPr>
      <w:bookmarkStart w:id="1" w:name="O_873791"/>
      <w:bookmarkEnd w:id="1"/>
      <w:r w:rsidRPr="00E9571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E9571A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rPr>
                <w:rStyle w:val="SpecialBold"/>
              </w:rPr>
              <w:t>Comments</w:t>
            </w:r>
          </w:p>
        </w:tc>
      </w:tr>
      <w:tr w:rsidR="00000000" w:rsidRPr="00E9571A" w:rsidTr="00E9571A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t xml:space="preserve">This version was released in </w:t>
            </w:r>
            <w:r w:rsidRPr="00E9571A">
              <w:rPr>
                <w:rStyle w:val="Emphasis"/>
              </w:rPr>
              <w:t>HLT Health Training Package release 2.0</w:t>
            </w:r>
            <w:r w:rsidRPr="00E9571A">
              <w:t xml:space="preserve"> and meets the requirements of the 2012 Standards for Training Packages.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Merged HLTMAMP401C and CHCAC410B. Significant changes to the elem</w:t>
            </w:r>
            <w:r w:rsidRPr="00E9571A">
              <w:t>ents and performance criteria. New evidence requirements for assessment, including volume and frequency requirements. Significant change to knowledge evidence. Removed prerequisite.</w:t>
            </w:r>
          </w:p>
        </w:tc>
      </w:tr>
    </w:tbl>
    <w:p w:rsidR="00632D75" w:rsidRDefault="00632D75" w:rsidP="00E9571A">
      <w:pPr>
        <w:pStyle w:val="BodyText"/>
      </w:pPr>
    </w:p>
    <w:p w:rsidR="00632D75" w:rsidRDefault="00632D75" w:rsidP="00E9571A">
      <w:pPr>
        <w:pStyle w:val="BodyText"/>
      </w:pPr>
    </w:p>
    <w:p w:rsidR="00000000" w:rsidRPr="00E9571A" w:rsidRDefault="00632D75" w:rsidP="00E9571A">
      <w:pPr>
        <w:pStyle w:val="Heading1"/>
      </w:pPr>
      <w:bookmarkStart w:id="2" w:name="O_873790"/>
      <w:bookmarkEnd w:id="2"/>
      <w:r w:rsidRPr="00E9571A">
        <w:t>Application</w:t>
      </w:r>
    </w:p>
    <w:p w:rsidR="00000000" w:rsidRPr="00E9571A" w:rsidRDefault="00632D75" w:rsidP="00632D75">
      <w:pPr>
        <w:pStyle w:val="BodyText"/>
      </w:pPr>
      <w:r w:rsidRPr="00E9571A">
        <w:t>This unit describes the skills and knowled</w:t>
      </w:r>
      <w:r w:rsidRPr="00E9571A">
        <w:t>ge required to prepare for, obtain and record simple clinical measurements.</w:t>
      </w:r>
    </w:p>
    <w:p w:rsidR="00000000" w:rsidRPr="00E9571A" w:rsidRDefault="00632D75" w:rsidP="00632D75">
      <w:pPr>
        <w:pStyle w:val="BodyText"/>
      </w:pPr>
      <w:r w:rsidRPr="00E9571A">
        <w:t>This unit applies to individuals who work under the direct or indirect supervision of a health professional.</w:t>
      </w:r>
    </w:p>
    <w:p w:rsidR="00000000" w:rsidRPr="00632D75" w:rsidRDefault="00632D75" w:rsidP="00632D75">
      <w:pPr>
        <w:pStyle w:val="BodyText"/>
        <w:rPr>
          <w:i/>
        </w:rPr>
      </w:pPr>
      <w:r w:rsidRPr="00632D75">
        <w:rPr>
          <w:rStyle w:val="Emphasis"/>
        </w:rPr>
        <w:t>The skills in this unit must be applied in accordance with Commonweal</w:t>
      </w:r>
      <w:r w:rsidRPr="00632D75">
        <w:rPr>
          <w:rStyle w:val="Emphasis"/>
        </w:rPr>
        <w:t>th and State/Territory legislation, Australian/New Zealand standards and industry codes of practice.</w:t>
      </w:r>
    </w:p>
    <w:p w:rsidR="00000000" w:rsidRPr="00E9571A" w:rsidRDefault="00632D75" w:rsidP="00E9571A">
      <w:pPr>
        <w:pStyle w:val="Heading1"/>
      </w:pPr>
      <w:bookmarkStart w:id="3" w:name="O_873789"/>
      <w:bookmarkEnd w:id="3"/>
      <w:r w:rsidRPr="00E9571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2"/>
      </w:tblGrid>
      <w:tr w:rsidR="00000000" w:rsidRPr="00E9571A" w:rsidTr="00E9571A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rPr>
                <w:rStyle w:val="SpecialBold"/>
              </w:rPr>
              <w:t>ELEMENT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rPr>
                <w:rStyle w:val="SpecialBold"/>
              </w:rPr>
              <w:t>PERFORMANCE CRITERIA</w:t>
            </w:r>
          </w:p>
        </w:tc>
      </w:tr>
      <w:tr w:rsidR="00000000" w:rsidTr="00E9571A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rPr>
                <w:rStyle w:val="Emphasis"/>
              </w:rPr>
              <w:t>Elements define the essential outcomes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rPr>
                <w:rStyle w:val="Emphasis"/>
              </w:rPr>
              <w:t>Performance criteria describe the performance needed to demonstrate achievement of the element</w:t>
            </w:r>
          </w:p>
        </w:tc>
      </w:tr>
      <w:tr w:rsidR="00000000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1. Prepare for clinical measurement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t xml:space="preserve">1.1 Determine clinical measurement requirements and own role limitations from review of client information 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1.2 Assess envir</w:t>
            </w:r>
            <w:r w:rsidRPr="00E9571A">
              <w:t xml:space="preserve">onment for suitability to conduct a clinical measurement 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 xml:space="preserve">1.3 Follow standard procedures for infection control 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lastRenderedPageBreak/>
              <w:t>1.4 Gather, prepare and check readiness of equipment and consumables prior to use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1.5 Identify client following organisation and regulatory proc</w:t>
            </w:r>
            <w:r w:rsidRPr="00E9571A">
              <w:t>edures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1.6 Clearly communicate measurement procedures and purpose to client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1.7 Collect and accurately document client information as required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 xml:space="preserve">1.8 Give client the opportunity to ask questions and discuss any concerns </w:t>
            </w:r>
          </w:p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1.9 Obtain agreement from the client i</w:t>
            </w:r>
            <w:r w:rsidRPr="00E9571A">
              <w:t>n accordance with clinical guidelines, organisation policies and procedures</w:t>
            </w:r>
          </w:p>
        </w:tc>
      </w:tr>
      <w:tr w:rsidR="00000000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</w:p>
        </w:tc>
      </w:tr>
      <w:tr w:rsidR="00000000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2. Obtain clinical measurements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t>2.1 Follow personal hygiene and infection control procedures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2.2 Use equipment according to its purpose and operating instructions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2.3 Use appropriate manual techniques and adapt to suit specific client needs and issues that arise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 xml:space="preserve">2.4 Obtain valid, reliable and accurate results by following standard sequences and procedures 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2.5 Read and document numerical and other measurement data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2</w:t>
            </w:r>
            <w:r w:rsidRPr="00E9571A">
              <w:t>.6 Identify non valid results and repeat procedures as required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2.7 Accurately record and report results in accordance with clinical guidelines, organisation policies and procedures and confidentiality requirements</w:t>
            </w:r>
          </w:p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2.8 Communicate outcome of measurements c</w:t>
            </w:r>
            <w:r w:rsidRPr="00E9571A">
              <w:t>learly and simply to client if appropriate to do so</w:t>
            </w:r>
          </w:p>
        </w:tc>
      </w:tr>
      <w:tr w:rsidR="00000000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</w:p>
        </w:tc>
      </w:tr>
      <w:tr w:rsidR="00000000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3. Finalise clinical measurement process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  <w:r w:rsidRPr="00E9571A">
              <w:t xml:space="preserve">3.1 Assist, advise and instruct client in accordance with needs of specific test procedures 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 xml:space="preserve">3.2 Clean, sterilise and/or dispose of equipment and </w:t>
            </w:r>
            <w:r w:rsidRPr="00E9571A">
              <w:lastRenderedPageBreak/>
              <w:t>consumables i</w:t>
            </w:r>
            <w:r w:rsidRPr="00E9571A">
              <w:t>n accordance with manufacturers’ requirements and infection control procedures</w:t>
            </w:r>
          </w:p>
          <w:p w:rsidR="00000000" w:rsidRPr="00E9571A" w:rsidRDefault="00632D75" w:rsidP="00E9571A">
            <w:pPr>
              <w:pStyle w:val="BodyText"/>
            </w:pPr>
            <w:r w:rsidRPr="00E9571A">
              <w:t>3.3 Clean work area and dispose of waste in line with organisation protocols and infection control procedures</w:t>
            </w:r>
          </w:p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t>3.4 Store equipment and consumables in accordance with clinical gui</w:t>
            </w:r>
            <w:r w:rsidRPr="00E9571A">
              <w:t>delines, organisation policies and procedures</w:t>
            </w:r>
          </w:p>
        </w:tc>
      </w:tr>
      <w:tr w:rsidR="00000000" w:rsidRPr="00E9571A" w:rsidTr="00E9571A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</w:p>
        </w:tc>
      </w:tr>
    </w:tbl>
    <w:p w:rsidR="00000000" w:rsidRPr="00E9571A" w:rsidRDefault="00632D75" w:rsidP="00E9571A">
      <w:pPr>
        <w:pStyle w:val="BodyText"/>
      </w:pPr>
    </w:p>
    <w:p w:rsidR="00000000" w:rsidRPr="00E9571A" w:rsidRDefault="00632D75" w:rsidP="00E9571A">
      <w:pPr>
        <w:pStyle w:val="AllowPageBreak"/>
      </w:pPr>
    </w:p>
    <w:p w:rsidR="00000000" w:rsidRPr="00E9571A" w:rsidRDefault="00632D75" w:rsidP="00E9571A">
      <w:pPr>
        <w:pStyle w:val="Heading1"/>
      </w:pPr>
      <w:bookmarkStart w:id="4" w:name="O_873788"/>
      <w:bookmarkEnd w:id="4"/>
      <w:r w:rsidRPr="00E9571A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Tr="00E9571A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32D75" w:rsidP="00E9571A">
            <w:pPr>
              <w:pStyle w:val="BodyText"/>
              <w:rPr>
                <w:lang w:val="en-NZ"/>
              </w:rPr>
            </w:pPr>
            <w:r w:rsidRPr="00E9571A">
              <w:rPr>
                <w:rStyle w:val="Emphasis"/>
              </w:rPr>
              <w:t xml:space="preserve">The Foundation Skills describe those required skills (language, literacy, numeracy and employment </w:t>
            </w:r>
            <w:r w:rsidRPr="00E9571A">
              <w:t xml:space="preserve">skills) that are essential </w:t>
            </w:r>
            <w:r w:rsidRPr="00E9571A">
              <w:rPr>
                <w:rStyle w:val="Emphasis"/>
              </w:rPr>
              <w:t>to performance.</w:t>
            </w:r>
          </w:p>
        </w:tc>
      </w:tr>
      <w:tr w:rsidR="00000000" w:rsidRPr="00E9571A" w:rsidTr="00E9571A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9571A" w:rsidRDefault="00632D75" w:rsidP="00E9571A">
            <w:pPr>
              <w:pStyle w:val="BodyText"/>
            </w:pPr>
          </w:p>
          <w:p w:rsidR="00000000" w:rsidRPr="00E9571A" w:rsidRDefault="00632D75" w:rsidP="00E9571A">
            <w:pPr>
              <w:pStyle w:val="BodyText"/>
            </w:pPr>
            <w:r w:rsidRPr="00E9571A">
              <w:t>Foundation skills essential to performance are explicit in the performance criteria of this unit of competency.</w:t>
            </w:r>
          </w:p>
        </w:tc>
      </w:tr>
    </w:tbl>
    <w:p w:rsidR="00000000" w:rsidRPr="00E9571A" w:rsidRDefault="00632D75" w:rsidP="00E9571A">
      <w:pPr>
        <w:pStyle w:val="BodyText"/>
      </w:pPr>
    </w:p>
    <w:p w:rsidR="00000000" w:rsidRPr="00E9571A" w:rsidRDefault="00632D75" w:rsidP="00E9571A">
      <w:pPr>
        <w:pStyle w:val="AllowPageBreak"/>
      </w:pPr>
    </w:p>
    <w:p w:rsidR="00000000" w:rsidRPr="00E9571A" w:rsidRDefault="00632D75" w:rsidP="00E9571A">
      <w:pPr>
        <w:pStyle w:val="Heading1"/>
      </w:pPr>
      <w:bookmarkStart w:id="5" w:name="O_873787"/>
      <w:bookmarkEnd w:id="5"/>
      <w:r w:rsidRPr="00E9571A">
        <w:t>Unit Mapping Information</w:t>
      </w:r>
    </w:p>
    <w:p w:rsidR="00000000" w:rsidRPr="00E9571A" w:rsidRDefault="00632D75" w:rsidP="00632D75">
      <w:pPr>
        <w:pStyle w:val="BodyText"/>
      </w:pPr>
      <w:r w:rsidRPr="00E9571A">
        <w:t xml:space="preserve">No equivalent unit. </w:t>
      </w:r>
    </w:p>
    <w:p w:rsidR="00000000" w:rsidRPr="00E9571A" w:rsidRDefault="00632D75" w:rsidP="00E9571A">
      <w:pPr>
        <w:pStyle w:val="Heading1"/>
      </w:pPr>
      <w:bookmarkStart w:id="6" w:name="O_873792"/>
      <w:bookmarkEnd w:id="6"/>
      <w:r w:rsidRPr="00E9571A">
        <w:t>Links</w:t>
      </w:r>
    </w:p>
    <w:p w:rsidR="00000000" w:rsidRPr="00E9571A" w:rsidRDefault="00632D75" w:rsidP="00632D75">
      <w:pPr>
        <w:pStyle w:val="BodyText"/>
      </w:pPr>
      <w:r w:rsidRPr="00E9571A">
        <w:t>Companion Volume implementation guides are found in VETN</w:t>
      </w:r>
      <w:r w:rsidRPr="00E9571A">
        <w:t xml:space="preserve">et - </w:t>
      </w:r>
      <w:hyperlink r:id="rId13" w:history="1">
        <w:r w:rsidRPr="00D10948">
          <w:rPr>
            <w:rStyle w:val="Hyperlink"/>
          </w:rPr>
          <w:t>https://vetnet.gov.au/Pages/TrainingDocs.aspx?q=ced1390f-48d9-4ab0-bd50-b015e5485705</w:t>
        </w:r>
      </w:hyperlink>
    </w:p>
    <w:p w:rsidR="00000000" w:rsidRPr="00E9571A" w:rsidRDefault="00632D75" w:rsidP="00E9571A"/>
    <w:sectPr w:rsidR="00000000" w:rsidRPr="00E9571A" w:rsidSect="00E9571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71A" w:rsidRDefault="00E9571A" w:rsidP="00E9571A">
      <w:r>
        <w:separator/>
      </w:r>
    </w:p>
  </w:endnote>
  <w:endnote w:type="continuationSeparator" w:id="0">
    <w:p w:rsidR="00E9571A" w:rsidRDefault="00E9571A" w:rsidP="00E9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1A" w:rsidRDefault="00E9571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1A" w:rsidRPr="00632D75" w:rsidRDefault="00E9571A" w:rsidP="00632D7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1A" w:rsidRDefault="00E9571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75" w:rsidRDefault="00632D75" w:rsidP="00E9571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32D75" w:rsidRDefault="00632D75" w:rsidP="00E9571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32D75" w:rsidRDefault="00632D75" w:rsidP="00E9571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71A" w:rsidRDefault="00E9571A" w:rsidP="00E9571A">
      <w:r>
        <w:separator/>
      </w:r>
    </w:p>
  </w:footnote>
  <w:footnote w:type="continuationSeparator" w:id="0">
    <w:p w:rsidR="00E9571A" w:rsidRDefault="00E9571A" w:rsidP="00E95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1A" w:rsidRDefault="00E9571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75" w:rsidRDefault="00632D7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E760F1E" wp14:editId="022EC5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571A" w:rsidRPr="00632D75" w:rsidRDefault="00E9571A" w:rsidP="00632D7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71A" w:rsidRDefault="00E9571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D75" w:rsidRPr="002D2AF8" w:rsidRDefault="00632D75" w:rsidP="00E9571A">
    <w:pPr>
      <w:pStyle w:val="Header"/>
      <w:framePr w:wrap="around"/>
    </w:pPr>
    <w:fldSimple w:instr=" TITLE   \* MERGEFORMAT ">
      <w:r>
        <w:t>HLTHPS001 Take clinical measurements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632D75" w:rsidRDefault="00632D75" w:rsidP="00E9571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9571A"/>
    <w:rsid w:val="00632D75"/>
    <w:rsid w:val="00E9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71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9571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9571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9571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9571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9571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9571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9571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9571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9571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9571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9571A"/>
  </w:style>
  <w:style w:type="character" w:customStyle="1" w:styleId="Heading1Char">
    <w:name w:val="Heading 1 Char"/>
    <w:basedOn w:val="DefaultParagraphFont"/>
    <w:link w:val="Heading1"/>
    <w:rsid w:val="00E9571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9571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9571A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E9571A"/>
    <w:rPr>
      <w:b/>
      <w:spacing w:val="0"/>
    </w:rPr>
  </w:style>
  <w:style w:type="character" w:styleId="Emphasis">
    <w:name w:val="Emphasis"/>
    <w:basedOn w:val="DefaultParagraphFont"/>
    <w:qFormat/>
    <w:rsid w:val="00E9571A"/>
    <w:rPr>
      <w:i/>
    </w:rPr>
  </w:style>
  <w:style w:type="paragraph" w:customStyle="1" w:styleId="SuperHeading">
    <w:name w:val="SuperHeading"/>
    <w:basedOn w:val="Normal"/>
    <w:rsid w:val="00E9571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9571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9571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9571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9571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9571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9571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9571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9571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9571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9571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9571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9571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9571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9571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9571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9571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9571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9571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9571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9571A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E9571A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E9571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9571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9571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9571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9571A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9571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9571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9571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9571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9571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9571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9571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9571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9571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9571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9571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9571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9571A"/>
  </w:style>
  <w:style w:type="paragraph" w:styleId="TableofFigures">
    <w:name w:val="table of figures"/>
    <w:basedOn w:val="Normal"/>
    <w:next w:val="Normal"/>
    <w:semiHidden/>
    <w:rsid w:val="00E9571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9571A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E9571A"/>
    <w:rPr>
      <w:rFonts w:ascii="Wingdings" w:hAnsi="Wingdings"/>
    </w:rPr>
  </w:style>
  <w:style w:type="paragraph" w:customStyle="1" w:styleId="TableHeading">
    <w:name w:val="Table Heading"/>
    <w:basedOn w:val="HeadingBase"/>
    <w:rsid w:val="00E9571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9571A"/>
    <w:rPr>
      <w:color w:val="0033CC"/>
      <w:u w:val="none"/>
    </w:rPr>
  </w:style>
  <w:style w:type="paragraph" w:customStyle="1" w:styleId="BodyTextRight">
    <w:name w:val="Body Text Right"/>
    <w:basedOn w:val="BodyText"/>
    <w:rsid w:val="00E9571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9571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9571A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9571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9571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9571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9571A"/>
    <w:rPr>
      <w:sz w:val="32"/>
    </w:rPr>
  </w:style>
  <w:style w:type="paragraph" w:customStyle="1" w:styleId="HeadingProcedure">
    <w:name w:val="Heading Procedure"/>
    <w:basedOn w:val="HeadingBase"/>
    <w:next w:val="Normal"/>
    <w:rsid w:val="00E9571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9571A"/>
    <w:pPr>
      <w:spacing w:before="60" w:after="60"/>
    </w:pPr>
  </w:style>
  <w:style w:type="paragraph" w:styleId="ListContinue">
    <w:name w:val="List Continue"/>
    <w:basedOn w:val="List"/>
    <w:rsid w:val="00E9571A"/>
    <w:pPr>
      <w:ind w:firstLine="0"/>
    </w:pPr>
  </w:style>
  <w:style w:type="paragraph" w:customStyle="1" w:styleId="ListNote">
    <w:name w:val="List Note"/>
    <w:basedOn w:val="List"/>
    <w:rsid w:val="00E9571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9571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9571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9571A"/>
    <w:rPr>
      <w:rFonts w:ascii="Courier New" w:hAnsi="Courier New"/>
    </w:rPr>
  </w:style>
  <w:style w:type="paragraph" w:customStyle="1" w:styleId="NoteBullet">
    <w:name w:val="Note Bullet"/>
    <w:basedOn w:val="Note"/>
    <w:rsid w:val="00E9571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9571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9571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9571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9571A"/>
    <w:pPr>
      <w:numPr>
        <w:numId w:val="9"/>
      </w:numPr>
    </w:pPr>
  </w:style>
  <w:style w:type="paragraph" w:styleId="PlainText">
    <w:name w:val="Plain Text"/>
    <w:basedOn w:val="Normal"/>
    <w:link w:val="PlainTextChar"/>
    <w:rsid w:val="00E9571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9571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9571A"/>
    <w:rPr>
      <w:b/>
      <w:smallCaps/>
    </w:rPr>
  </w:style>
  <w:style w:type="paragraph" w:customStyle="1" w:styleId="TableListNumber">
    <w:name w:val="Table List Number"/>
    <w:basedOn w:val="ListNumber"/>
    <w:rsid w:val="00E9571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9571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9571A"/>
    <w:pPr>
      <w:numPr>
        <w:numId w:val="7"/>
      </w:numPr>
    </w:pPr>
  </w:style>
  <w:style w:type="paragraph" w:customStyle="1" w:styleId="ListAlpha2">
    <w:name w:val="List Alpha 2"/>
    <w:basedOn w:val="List2"/>
    <w:rsid w:val="00E9571A"/>
    <w:pPr>
      <w:numPr>
        <w:numId w:val="6"/>
      </w:numPr>
    </w:pPr>
  </w:style>
  <w:style w:type="paragraph" w:styleId="List2">
    <w:name w:val="List 2"/>
    <w:basedOn w:val="BodyText"/>
    <w:rsid w:val="00E9571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9571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9571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9571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9571A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9571A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E9571A"/>
    <w:pPr>
      <w:numPr>
        <w:numId w:val="2"/>
      </w:numPr>
    </w:pPr>
  </w:style>
  <w:style w:type="paragraph" w:styleId="ListContinue2">
    <w:name w:val="List Continue 2"/>
    <w:basedOn w:val="List2"/>
    <w:rsid w:val="00E9571A"/>
    <w:pPr>
      <w:ind w:firstLine="0"/>
    </w:pPr>
  </w:style>
  <w:style w:type="paragraph" w:styleId="ListContinue3">
    <w:name w:val="List Continue 3"/>
    <w:basedOn w:val="List3"/>
    <w:rsid w:val="00E9571A"/>
    <w:pPr>
      <w:ind w:left="1021" w:firstLine="0"/>
    </w:pPr>
  </w:style>
  <w:style w:type="paragraph" w:styleId="ListContinue4">
    <w:name w:val="List Continue 4"/>
    <w:basedOn w:val="List4"/>
    <w:rsid w:val="00E9571A"/>
    <w:pPr>
      <w:ind w:firstLine="0"/>
    </w:pPr>
  </w:style>
  <w:style w:type="paragraph" w:styleId="ListContinue5">
    <w:name w:val="List Continue 5"/>
    <w:basedOn w:val="List5"/>
    <w:rsid w:val="00E9571A"/>
    <w:pPr>
      <w:ind w:firstLine="0"/>
    </w:pPr>
  </w:style>
  <w:style w:type="paragraph" w:styleId="ListNumber3">
    <w:name w:val="List Number 3"/>
    <w:basedOn w:val="List3"/>
    <w:rsid w:val="00E9571A"/>
    <w:pPr>
      <w:numPr>
        <w:numId w:val="3"/>
      </w:numPr>
    </w:pPr>
  </w:style>
  <w:style w:type="paragraph" w:styleId="ListNumber4">
    <w:name w:val="List Number 4"/>
    <w:basedOn w:val="List4"/>
    <w:rsid w:val="00E9571A"/>
    <w:pPr>
      <w:numPr>
        <w:numId w:val="4"/>
      </w:numPr>
    </w:pPr>
  </w:style>
  <w:style w:type="paragraph" w:styleId="ListNumber5">
    <w:name w:val="List Number 5"/>
    <w:basedOn w:val="List5"/>
    <w:rsid w:val="00E9571A"/>
    <w:pPr>
      <w:numPr>
        <w:numId w:val="5"/>
      </w:numPr>
    </w:pPr>
  </w:style>
  <w:style w:type="paragraph" w:styleId="BlockText">
    <w:name w:val="Block Text"/>
    <w:basedOn w:val="Normal"/>
    <w:rsid w:val="00E9571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9571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9571A"/>
    <w:rPr>
      <w:sz w:val="16"/>
      <w:vertAlign w:val="superscript"/>
    </w:rPr>
  </w:style>
  <w:style w:type="character" w:customStyle="1" w:styleId="Symbols">
    <w:name w:val="Symbols"/>
    <w:basedOn w:val="DefaultParagraphFont"/>
    <w:rsid w:val="00E9571A"/>
    <w:rPr>
      <w:rFonts w:ascii="Symbol" w:hAnsi="Symbol"/>
    </w:rPr>
  </w:style>
  <w:style w:type="character" w:customStyle="1" w:styleId="MenuOptions">
    <w:name w:val="Menu Options"/>
    <w:basedOn w:val="DefaultParagraphFont"/>
    <w:rsid w:val="00E9571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9571A"/>
    <w:rPr>
      <w:b/>
    </w:rPr>
  </w:style>
  <w:style w:type="character" w:customStyle="1" w:styleId="Underlined">
    <w:name w:val="Underlined"/>
    <w:basedOn w:val="DefaultParagraphFont"/>
    <w:rsid w:val="00E9571A"/>
    <w:rPr>
      <w:u w:val="single"/>
    </w:rPr>
  </w:style>
  <w:style w:type="paragraph" w:customStyle="1" w:styleId="TableBodyTextRight">
    <w:name w:val="Table Body Text Right"/>
    <w:basedOn w:val="TableBodyText"/>
    <w:rsid w:val="00E9571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9571A"/>
    <w:rPr>
      <w:sz w:val="18"/>
    </w:rPr>
  </w:style>
  <w:style w:type="paragraph" w:customStyle="1" w:styleId="BodySmallRight">
    <w:name w:val="Body Small Right"/>
    <w:basedOn w:val="BodyTextRight"/>
    <w:rsid w:val="00E9571A"/>
    <w:rPr>
      <w:sz w:val="18"/>
      <w:szCs w:val="18"/>
    </w:rPr>
  </w:style>
  <w:style w:type="paragraph" w:customStyle="1" w:styleId="MarginEdition">
    <w:name w:val="Margin Edition"/>
    <w:basedOn w:val="MarginNote"/>
    <w:rsid w:val="00E9571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9571A"/>
    <w:rPr>
      <w:sz w:val="2"/>
      <w:szCs w:val="2"/>
    </w:rPr>
  </w:style>
  <w:style w:type="character" w:customStyle="1" w:styleId="Small">
    <w:name w:val="Small"/>
    <w:basedOn w:val="DefaultParagraphFont"/>
    <w:rsid w:val="00E9571A"/>
    <w:rPr>
      <w:sz w:val="16"/>
    </w:rPr>
  </w:style>
  <w:style w:type="paragraph" w:customStyle="1" w:styleId="WideTable">
    <w:name w:val="Wide Table"/>
    <w:basedOn w:val="Normal"/>
    <w:rsid w:val="00E9571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9571A"/>
  </w:style>
  <w:style w:type="paragraph" w:styleId="Quote">
    <w:name w:val="Quote"/>
    <w:basedOn w:val="Heading1"/>
    <w:link w:val="QuoteChar"/>
    <w:qFormat/>
    <w:rsid w:val="00E9571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9571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9571A"/>
    <w:pPr>
      <w:pageBreakBefore/>
    </w:pPr>
  </w:style>
  <w:style w:type="paragraph" w:customStyle="1" w:styleId="Border">
    <w:name w:val="Border"/>
    <w:basedOn w:val="Normal"/>
    <w:qFormat/>
    <w:rsid w:val="00E9571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9571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71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71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9571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9571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9571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9571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9571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9571A"/>
    <w:rPr>
      <w:u w:val="single"/>
    </w:rPr>
  </w:style>
  <w:style w:type="character" w:customStyle="1" w:styleId="BoldandItalics">
    <w:name w:val="Bold and Italics"/>
    <w:qFormat/>
    <w:rsid w:val="00E9571A"/>
    <w:rPr>
      <w:b/>
      <w:i/>
      <w:u w:val="none"/>
    </w:rPr>
  </w:style>
  <w:style w:type="paragraph" w:styleId="BalloonText">
    <w:name w:val="Balloon Text"/>
    <w:basedOn w:val="Normal"/>
    <w:link w:val="BalloonTextChar"/>
    <w:rsid w:val="00E95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571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9571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9571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9571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9571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9571A"/>
    <w:pPr>
      <w:spacing w:before="0" w:after="0"/>
    </w:pPr>
  </w:style>
  <w:style w:type="paragraph" w:customStyle="1" w:styleId="BodyTextBold">
    <w:name w:val="Body Text Bold"/>
    <w:basedOn w:val="BodyText"/>
    <w:qFormat/>
    <w:rsid w:val="00E9571A"/>
    <w:rPr>
      <w:b/>
    </w:rPr>
  </w:style>
  <w:style w:type="character" w:styleId="Hyperlink">
    <w:name w:val="Hyperlink"/>
    <w:basedOn w:val="DefaultParagraphFont"/>
    <w:uiPriority w:val="99"/>
    <w:unhideWhenUsed/>
    <w:rsid w:val="00632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3267</Characters>
  <Application>Microsoft Office Word</Application>
  <DocSecurity>0</DocSecurity>
  <Lines>112</Lines>
  <Paragraphs>58</Paragraphs>
  <ScaleCrop>false</ScaleCrop>
  <Company>Author-it Software Corporation Ltd.</Company>
  <LinksUpToDate>false</LinksUpToDate>
  <CharactersWithSpaces>3711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HLTHPS001 Take clinical measurements</dc:title>
  <dc:subject>Approved</dc:subject>
  <dc:creator>SkillsIQ</dc:creator>
  <cp:keywords>Release: 2</cp:keywords>
  <dc:description>Review Date: 12 April 2008</dc:description>
  <cp:lastModifiedBy>HSD_TPCMSd.prod</cp:lastModifiedBy>
  <cp:revision>3</cp:revision>
  <dcterms:created xsi:type="dcterms:W3CDTF">2023-07-02T01:33:00Z</dcterms:created>
  <dcterms:modified xsi:type="dcterms:W3CDTF">2023-07-02T01:33:00Z</dcterms:modified>
</cp:coreProperties>
</file>