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D75" w:rsidRDefault="00BE1D75" w:rsidP="00BE1D75">
      <w:pPr>
        <w:pStyle w:val="Title"/>
      </w:pPr>
      <w:fldSimple w:instr=" TITLE   \* MERGEFORMAT ">
        <w:r>
          <w:t>Assessment Requirements for FNSTPB505 Apply legal principles in property law</w:t>
        </w:r>
      </w:fldSimple>
    </w:p>
    <w:p w:rsidR="00BE1D75" w:rsidRDefault="00BE1D75" w:rsidP="00BE1D75">
      <w:pPr>
        <w:pStyle w:val="Version"/>
        <w:sectPr w:rsidR="00BE1D75" w:rsidSect="009C50F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C50F7" w:rsidRDefault="00BE1D75" w:rsidP="009C50F7">
      <w:pPr>
        <w:pStyle w:val="SuperHeading"/>
      </w:pPr>
      <w:r w:rsidRPr="009C50F7">
        <w:lastRenderedPageBreak/>
        <w:t>Assessment Requirements for FNSTPB505 Apply legal principles in property law</w:t>
      </w:r>
    </w:p>
    <w:p w:rsidR="00000000" w:rsidRPr="009C50F7" w:rsidRDefault="00BE1D75" w:rsidP="009C50F7">
      <w:pPr>
        <w:pStyle w:val="Heading1"/>
      </w:pPr>
      <w:bookmarkStart w:id="1" w:name="O_708045"/>
      <w:bookmarkEnd w:id="1"/>
      <w:r w:rsidRPr="009C50F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9C50F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C50F7" w:rsidRDefault="00BE1D75" w:rsidP="009C50F7">
            <w:pPr>
              <w:pStyle w:val="BodyText"/>
            </w:pPr>
            <w:r w:rsidRPr="009C50F7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E1D75" w:rsidP="009C50F7">
            <w:pPr>
              <w:pStyle w:val="BodyText"/>
              <w:rPr>
                <w:lang w:val="en-NZ"/>
              </w:rPr>
            </w:pPr>
            <w:r w:rsidRPr="009C50F7">
              <w:rPr>
                <w:rStyle w:val="SpecialBold"/>
              </w:rPr>
              <w:t>Comments</w:t>
            </w:r>
          </w:p>
        </w:tc>
      </w:tr>
      <w:tr w:rsidR="00000000" w:rsidRPr="009C50F7" w:rsidTr="009C50F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E1D75" w:rsidP="009C50F7">
            <w:pPr>
              <w:pStyle w:val="BodyText"/>
              <w:rPr>
                <w:lang w:val="en-NZ"/>
              </w:rPr>
            </w:pPr>
            <w:r w:rsidRPr="009C50F7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C50F7" w:rsidRDefault="00BE1D75" w:rsidP="009C50F7">
            <w:pPr>
              <w:pStyle w:val="BodyText"/>
            </w:pPr>
            <w:r w:rsidRPr="009C50F7">
              <w:t>This version first released with FNS Financial Services Training Package Version 1.0.</w:t>
            </w:r>
          </w:p>
        </w:tc>
      </w:tr>
    </w:tbl>
    <w:p w:rsidR="00000000" w:rsidRPr="009C50F7" w:rsidRDefault="00BE1D75" w:rsidP="009C50F7">
      <w:pPr>
        <w:pStyle w:val="BodyText"/>
      </w:pPr>
    </w:p>
    <w:p w:rsidR="00000000" w:rsidRPr="009C50F7" w:rsidRDefault="00BE1D75" w:rsidP="009C50F7">
      <w:pPr>
        <w:pStyle w:val="AllowPageBreak"/>
      </w:pPr>
    </w:p>
    <w:p w:rsidR="00000000" w:rsidRPr="009C50F7" w:rsidRDefault="00BE1D75" w:rsidP="009C50F7">
      <w:pPr>
        <w:pStyle w:val="Heading1"/>
      </w:pPr>
      <w:bookmarkStart w:id="2" w:name="O_708046"/>
      <w:bookmarkEnd w:id="2"/>
      <w:r w:rsidRPr="009C50F7">
        <w:t>Performance Evidence</w:t>
      </w:r>
    </w:p>
    <w:p w:rsidR="00000000" w:rsidRPr="009C50F7" w:rsidRDefault="00BE1D75" w:rsidP="00BE1D75">
      <w:pPr>
        <w:pStyle w:val="BodyText"/>
      </w:pPr>
      <w:r w:rsidRPr="009C50F7">
        <w:t>Evidence of the ability to:</w:t>
      </w:r>
    </w:p>
    <w:p w:rsidR="00000000" w:rsidRPr="009C50F7" w:rsidRDefault="00BE1D75" w:rsidP="009C50F7">
      <w:pPr>
        <w:pStyle w:val="ListBullet"/>
      </w:pPr>
      <w:r w:rsidRPr="009C50F7">
        <w:t>research for any changes to, or new, legislative requirements in relation to property law relevant to the client</w:t>
      </w:r>
      <w:r>
        <w:t>’</w:t>
      </w:r>
      <w:r w:rsidRPr="009C50F7">
        <w:t>s circumstances</w:t>
      </w:r>
    </w:p>
    <w:p w:rsidR="00000000" w:rsidRPr="009C50F7" w:rsidRDefault="00BE1D75" w:rsidP="009C50F7">
      <w:pPr>
        <w:pStyle w:val="ListBullet"/>
      </w:pPr>
      <w:r w:rsidRPr="009C50F7">
        <w:t>apply current statute, common law and equitable principles in relation to pro</w:t>
      </w:r>
      <w:r w:rsidRPr="009C50F7">
        <w:t>perty law that are relevant to the client</w:t>
      </w:r>
      <w:r>
        <w:t>’</w:t>
      </w:r>
      <w:r w:rsidRPr="009C50F7">
        <w:t>s circumstances</w:t>
      </w:r>
    </w:p>
    <w:p w:rsidR="00000000" w:rsidRPr="009C50F7" w:rsidRDefault="00BE1D75" w:rsidP="009C50F7">
      <w:pPr>
        <w:pStyle w:val="ListBullet"/>
      </w:pPr>
      <w:r w:rsidRPr="009C50F7">
        <w:t>present a recommendation and advise clients after considering their circumstances and relevant property laws.</w:t>
      </w:r>
    </w:p>
    <w:p w:rsidR="00000000" w:rsidRPr="009C50F7" w:rsidRDefault="00BE1D75" w:rsidP="009C50F7">
      <w:pPr>
        <w:pStyle w:val="BodyText"/>
      </w:pPr>
    </w:p>
    <w:p w:rsidR="00000000" w:rsidRPr="009C50F7" w:rsidRDefault="00BE1D75" w:rsidP="00BE1D75">
      <w:pPr>
        <w:pStyle w:val="BodyText"/>
      </w:pPr>
      <w:r w:rsidRPr="009C50F7">
        <w:t>Note: If a specific volume or frequency is not stated, then evidence must be provided at least once.</w:t>
      </w:r>
    </w:p>
    <w:p w:rsidR="00000000" w:rsidRPr="009C50F7" w:rsidRDefault="00BE1D75" w:rsidP="009C50F7">
      <w:pPr>
        <w:pStyle w:val="Heading1"/>
      </w:pPr>
      <w:bookmarkStart w:id="3" w:name="O_708047"/>
      <w:bookmarkEnd w:id="3"/>
      <w:r w:rsidRPr="009C50F7">
        <w:t>Knowledge Evidence</w:t>
      </w:r>
    </w:p>
    <w:p w:rsidR="00000000" w:rsidRPr="009C50F7" w:rsidRDefault="00BE1D75" w:rsidP="00BE1D75">
      <w:pPr>
        <w:pStyle w:val="BodyText"/>
      </w:pPr>
      <w:r w:rsidRPr="009C50F7">
        <w:t>To complete the unit requirements safely and effectively, the individual must:</w:t>
      </w:r>
    </w:p>
    <w:p w:rsidR="00000000" w:rsidRPr="009C50F7" w:rsidRDefault="00BE1D75" w:rsidP="009C50F7">
      <w:pPr>
        <w:pStyle w:val="ListBullet"/>
      </w:pPr>
      <w:r w:rsidRPr="009C50F7">
        <w:t>explain the operation of the Australian</w:t>
      </w:r>
      <w:r w:rsidRPr="009C50F7">
        <w:t xml:space="preserve"> legal systems and processes relevant to property law including:</w:t>
      </w:r>
    </w:p>
    <w:p w:rsidR="00000000" w:rsidRPr="009C50F7" w:rsidRDefault="00BE1D75" w:rsidP="009C50F7">
      <w:pPr>
        <w:pStyle w:val="ListBullet2"/>
      </w:pPr>
      <w:r w:rsidRPr="009C50F7">
        <w:t>basic principles, current statute, common law and equitable principles</w:t>
      </w:r>
    </w:p>
    <w:p w:rsidR="00000000" w:rsidRPr="009C50F7" w:rsidRDefault="00BE1D75" w:rsidP="009C50F7">
      <w:pPr>
        <w:pStyle w:val="ListBullet2"/>
      </w:pPr>
      <w:r w:rsidRPr="009C50F7">
        <w:t>roles and responsibilities of key organisations</w:t>
      </w:r>
    </w:p>
    <w:p w:rsidR="00000000" w:rsidRPr="009C50F7" w:rsidRDefault="00BE1D75" w:rsidP="009C50F7">
      <w:pPr>
        <w:pStyle w:val="ListBullet2"/>
      </w:pPr>
      <w:r w:rsidRPr="009C50F7">
        <w:t>constitutional considerations</w:t>
      </w:r>
    </w:p>
    <w:p w:rsidR="00000000" w:rsidRPr="009C50F7" w:rsidRDefault="00BE1D75" w:rsidP="009C50F7">
      <w:pPr>
        <w:pStyle w:val="ListBullet2"/>
      </w:pPr>
      <w:r w:rsidRPr="009C50F7">
        <w:t>separation of powers</w:t>
      </w:r>
    </w:p>
    <w:p w:rsidR="00000000" w:rsidRPr="009C50F7" w:rsidRDefault="00BE1D75" w:rsidP="009C50F7">
      <w:pPr>
        <w:pStyle w:val="ListBullet2"/>
      </w:pPr>
      <w:r w:rsidRPr="009C50F7">
        <w:t xml:space="preserve">basic principles of </w:t>
      </w:r>
      <w:r w:rsidRPr="009C50F7">
        <w:t>the law of torts, particularly relating to negligence and negligent misstatement</w:t>
      </w:r>
    </w:p>
    <w:p w:rsidR="00000000" w:rsidRPr="009C50F7" w:rsidRDefault="00BE1D75" w:rsidP="009C50F7">
      <w:pPr>
        <w:pStyle w:val="ListBullet2"/>
      </w:pPr>
      <w:r w:rsidRPr="009C50F7">
        <w:t>courts and regulatory bodies</w:t>
      </w:r>
    </w:p>
    <w:p w:rsidR="00000000" w:rsidRPr="009C50F7" w:rsidRDefault="00BE1D75" w:rsidP="009C50F7">
      <w:pPr>
        <w:pStyle w:val="ListBullet"/>
      </w:pPr>
      <w:r w:rsidRPr="009C50F7">
        <w:t>outline how laws are enacted and their underlying policy aims</w:t>
      </w:r>
    </w:p>
    <w:p w:rsidR="00000000" w:rsidRPr="009C50F7" w:rsidRDefault="00BE1D75" w:rsidP="009C50F7">
      <w:pPr>
        <w:pStyle w:val="ListBullet"/>
      </w:pPr>
      <w:r w:rsidRPr="009C50F7">
        <w:t>explain how those laws may be interpreted by existing common law and equitable rule</w:t>
      </w:r>
      <w:r w:rsidRPr="009C50F7">
        <w:t>s and applied to property laws</w:t>
      </w:r>
    </w:p>
    <w:p w:rsidR="00000000" w:rsidRPr="009C50F7" w:rsidRDefault="00BE1D75" w:rsidP="009C50F7">
      <w:pPr>
        <w:pStyle w:val="ListBullet"/>
      </w:pPr>
      <w:r w:rsidRPr="009C50F7">
        <w:t>outline legal aspects of real property law:</w:t>
      </w:r>
    </w:p>
    <w:p w:rsidR="00000000" w:rsidRPr="009C50F7" w:rsidRDefault="00BE1D75" w:rsidP="009C50F7">
      <w:pPr>
        <w:pStyle w:val="ListBullet2"/>
      </w:pPr>
      <w:r w:rsidRPr="009C50F7">
        <w:lastRenderedPageBreak/>
        <w:t>the Torrens system</w:t>
      </w:r>
    </w:p>
    <w:p w:rsidR="00000000" w:rsidRPr="009C50F7" w:rsidRDefault="00BE1D75" w:rsidP="009C50F7">
      <w:pPr>
        <w:pStyle w:val="ListBullet2"/>
      </w:pPr>
      <w:r w:rsidRPr="009C50F7">
        <w:t>native title</w:t>
      </w:r>
    </w:p>
    <w:p w:rsidR="00000000" w:rsidRPr="009C50F7" w:rsidRDefault="00BE1D75" w:rsidP="009C50F7">
      <w:pPr>
        <w:pStyle w:val="ListBullet2"/>
      </w:pPr>
      <w:r w:rsidRPr="009C50F7">
        <w:t>leases – commercial and residential</w:t>
      </w:r>
    </w:p>
    <w:p w:rsidR="00000000" w:rsidRPr="009C50F7" w:rsidRDefault="00BE1D75" w:rsidP="009C50F7">
      <w:pPr>
        <w:pStyle w:val="ListBullet2"/>
      </w:pPr>
      <w:r w:rsidRPr="009C50F7">
        <w:t>mortgages and securities</w:t>
      </w:r>
    </w:p>
    <w:p w:rsidR="00000000" w:rsidRPr="009C50F7" w:rsidRDefault="00BE1D75" w:rsidP="009C50F7">
      <w:pPr>
        <w:pStyle w:val="ListBullet2"/>
      </w:pPr>
      <w:r w:rsidRPr="009C50F7">
        <w:t>easements</w:t>
      </w:r>
    </w:p>
    <w:p w:rsidR="00000000" w:rsidRPr="009C50F7" w:rsidRDefault="00BE1D75" w:rsidP="009C50F7">
      <w:pPr>
        <w:pStyle w:val="ListBullet2"/>
      </w:pPr>
      <w:r w:rsidRPr="009C50F7">
        <w:t>restrictive covenants</w:t>
      </w:r>
    </w:p>
    <w:p w:rsidR="00000000" w:rsidRPr="009C50F7" w:rsidRDefault="00BE1D75" w:rsidP="009C50F7">
      <w:pPr>
        <w:pStyle w:val="ListBullet2"/>
      </w:pPr>
      <w:r w:rsidRPr="009C50F7">
        <w:t>co-ownership</w:t>
      </w:r>
    </w:p>
    <w:p w:rsidR="00000000" w:rsidRPr="009C50F7" w:rsidRDefault="00BE1D75" w:rsidP="009C50F7">
      <w:pPr>
        <w:pStyle w:val="ListBullet2"/>
      </w:pPr>
      <w:r w:rsidRPr="009C50F7">
        <w:t>strata and community title</w:t>
      </w:r>
    </w:p>
    <w:p w:rsidR="00000000" w:rsidRPr="009C50F7" w:rsidRDefault="00BE1D75" w:rsidP="009C50F7">
      <w:pPr>
        <w:pStyle w:val="ListBullet"/>
      </w:pPr>
      <w:r w:rsidRPr="009C50F7">
        <w:t>outline legal aspects of personal property law:</w:t>
      </w:r>
    </w:p>
    <w:p w:rsidR="00000000" w:rsidRPr="009C50F7" w:rsidRDefault="00BE1D75" w:rsidP="009C50F7">
      <w:pPr>
        <w:pStyle w:val="ListBullet2"/>
      </w:pPr>
      <w:r w:rsidRPr="009C50F7">
        <w:t>intellectual property law</w:t>
      </w:r>
    </w:p>
    <w:p w:rsidR="00000000" w:rsidRPr="009C50F7" w:rsidRDefault="00BE1D75" w:rsidP="009C50F7">
      <w:pPr>
        <w:pStyle w:val="ListBullet2"/>
      </w:pPr>
      <w:r w:rsidRPr="009C50F7">
        <w:t>patents</w:t>
      </w:r>
    </w:p>
    <w:p w:rsidR="00000000" w:rsidRPr="009C50F7" w:rsidRDefault="00BE1D75" w:rsidP="009C50F7">
      <w:pPr>
        <w:pStyle w:val="ListBullet2"/>
      </w:pPr>
      <w:r w:rsidRPr="009C50F7">
        <w:t>copyrights</w:t>
      </w:r>
    </w:p>
    <w:p w:rsidR="00000000" w:rsidRPr="009C50F7" w:rsidRDefault="00BE1D75" w:rsidP="009C50F7">
      <w:pPr>
        <w:pStyle w:val="ListBullet2"/>
      </w:pPr>
      <w:r w:rsidRPr="009C50F7">
        <w:t>trademarks</w:t>
      </w:r>
    </w:p>
    <w:p w:rsidR="00000000" w:rsidRPr="009C50F7" w:rsidRDefault="00BE1D75" w:rsidP="009C50F7">
      <w:pPr>
        <w:pStyle w:val="ListBullet2"/>
      </w:pPr>
      <w:r w:rsidRPr="009C50F7">
        <w:t>personal property securities law.</w:t>
      </w:r>
    </w:p>
    <w:p w:rsidR="00000000" w:rsidRPr="009C50F7" w:rsidRDefault="00BE1D75" w:rsidP="009C50F7">
      <w:pPr>
        <w:pStyle w:val="AllowPageBreak"/>
      </w:pPr>
    </w:p>
    <w:p w:rsidR="00000000" w:rsidRPr="009C50F7" w:rsidRDefault="00BE1D75" w:rsidP="009C50F7">
      <w:pPr>
        <w:pStyle w:val="Heading1"/>
      </w:pPr>
      <w:bookmarkStart w:id="4" w:name="O_708048"/>
      <w:bookmarkEnd w:id="4"/>
      <w:r w:rsidRPr="009C50F7">
        <w:t>Assessment Conditions</w:t>
      </w:r>
    </w:p>
    <w:p w:rsidR="00000000" w:rsidRPr="009C50F7" w:rsidRDefault="00BE1D75" w:rsidP="00BE1D75">
      <w:pPr>
        <w:pStyle w:val="BodyText"/>
      </w:pPr>
      <w:r w:rsidRPr="009C50F7">
        <w:t>Assessment must be conducted in a safe environment where evidence gathered demonstrates consistent performance of typical activities experienced in the tax and legal fields of work and include access to:</w:t>
      </w:r>
    </w:p>
    <w:p w:rsidR="00000000" w:rsidRPr="009C50F7" w:rsidRDefault="00BE1D75" w:rsidP="009C50F7">
      <w:pPr>
        <w:pStyle w:val="ListBullet"/>
      </w:pPr>
      <w:r w:rsidRPr="009C50F7">
        <w:t>office equipment, technology, software and consumab</w:t>
      </w:r>
      <w:r w:rsidRPr="009C50F7">
        <w:t>les</w:t>
      </w:r>
    </w:p>
    <w:p w:rsidR="00000000" w:rsidRPr="009C50F7" w:rsidRDefault="00BE1D75" w:rsidP="009C50F7">
      <w:pPr>
        <w:pStyle w:val="ListBullet"/>
      </w:pPr>
      <w:r w:rsidRPr="009C50F7">
        <w:t>relevant legislation, regulations and codes of practice.</w:t>
      </w:r>
    </w:p>
    <w:p w:rsidR="00000000" w:rsidRPr="009C50F7" w:rsidRDefault="00BE1D75" w:rsidP="009C50F7">
      <w:pPr>
        <w:pStyle w:val="BodyText"/>
      </w:pPr>
    </w:p>
    <w:p w:rsidR="00000000" w:rsidRPr="009C50F7" w:rsidRDefault="00BE1D75" w:rsidP="00BE1D75">
      <w:pPr>
        <w:pStyle w:val="BodyText"/>
      </w:pPr>
      <w:r w:rsidRPr="009C50F7">
        <w:t>Assessors must satisfy NVR/AQTF assessor requirements.</w:t>
      </w:r>
    </w:p>
    <w:p w:rsidR="00000000" w:rsidRPr="009C50F7" w:rsidRDefault="00BE1D75" w:rsidP="00BE1D75">
      <w:pPr>
        <w:pStyle w:val="BodyText"/>
      </w:pPr>
      <w:r w:rsidRPr="009C50F7">
        <w:t>This unit is designed to meet the education requirements of the Tax Practitioner Board (TPB). Where registration with the TPB is sought, a</w:t>
      </w:r>
      <w:r w:rsidRPr="009C50F7">
        <w:t>ssessment must reflect the conditions described by the regulator which stipulate that a significant amount (at least 40%) must be completed under some form of independent supervision. Where recognition of prior learning (RPL) is used, it must also meet the</w:t>
      </w:r>
      <w:r w:rsidRPr="009C50F7">
        <w:t xml:space="preserve"> requirements of the Board’s policy on RPL.</w:t>
      </w:r>
    </w:p>
    <w:p w:rsidR="00000000" w:rsidRPr="009C50F7" w:rsidRDefault="00BE1D75" w:rsidP="00BE1D75">
      <w:pPr>
        <w:pStyle w:val="BodyText"/>
      </w:pPr>
      <w:r w:rsidRPr="009C50F7">
        <w:t xml:space="preserve">Details of requirements can be accessed on the TPB website at </w:t>
      </w:r>
      <w:r w:rsidRPr="009C50F7">
        <w:rPr>
          <w:rStyle w:val="Emphasis"/>
        </w:rPr>
        <w:t>&lt;</w:t>
      </w:r>
      <w:hyperlink r:id="rId13" w:history="1">
        <w:r w:rsidRPr="00A3377A">
          <w:rPr>
            <w:rStyle w:val="Hyperlink"/>
          </w:rPr>
          <w:t>http://www.tpb.gov.au</w:t>
        </w:r>
      </w:hyperlink>
      <w:r w:rsidRPr="009C50F7">
        <w:rPr>
          <w:rStyle w:val="Emphasis"/>
        </w:rPr>
        <w:t>&gt;.</w:t>
      </w:r>
    </w:p>
    <w:p w:rsidR="00000000" w:rsidRPr="009C50F7" w:rsidRDefault="00BE1D75" w:rsidP="009C50F7">
      <w:pPr>
        <w:pStyle w:val="Heading1"/>
      </w:pPr>
      <w:bookmarkStart w:id="5" w:name="O_708051"/>
      <w:bookmarkEnd w:id="5"/>
      <w:r w:rsidRPr="009C50F7">
        <w:t>Links</w:t>
      </w:r>
    </w:p>
    <w:p w:rsidR="00000000" w:rsidRPr="009C50F7" w:rsidRDefault="00BE1D75" w:rsidP="00BE1D75">
      <w:pPr>
        <w:pStyle w:val="BodyText"/>
      </w:pPr>
      <w:r w:rsidRPr="009C50F7">
        <w:t xml:space="preserve">Companion Volume implementation guides are found in VETNet - </w:t>
      </w:r>
      <w:hyperlink r:id="rId14" w:history="1">
        <w:r w:rsidRPr="00A3377A">
          <w:rPr>
            <w:rStyle w:val="Hyperlink"/>
          </w:rPr>
          <w:t>https://vetnet.gov.au/Pages/TrainingDocs.aspx?q=c7200cc8-0566-4f04-b76f-e89fd6f102fe</w:t>
        </w:r>
      </w:hyperlink>
    </w:p>
    <w:p w:rsidR="00000000" w:rsidRPr="009C50F7" w:rsidRDefault="00BE1D75" w:rsidP="009C50F7"/>
    <w:sectPr w:rsidR="00000000" w:rsidRPr="009C50F7" w:rsidSect="009C50F7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0F7" w:rsidRDefault="009C50F7" w:rsidP="009C50F7">
      <w:r>
        <w:separator/>
      </w:r>
    </w:p>
  </w:endnote>
  <w:endnote w:type="continuationSeparator" w:id="0">
    <w:p w:rsidR="009C50F7" w:rsidRDefault="009C50F7" w:rsidP="009C5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F7" w:rsidRDefault="009C50F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F7" w:rsidRPr="00BE1D75" w:rsidRDefault="009C50F7" w:rsidP="00BE1D7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F7" w:rsidRDefault="009C50F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75" w:rsidRDefault="00BE1D75" w:rsidP="009C50F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BE1D75" w:rsidRDefault="00BE1D75" w:rsidP="009C50F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BE1D75" w:rsidRDefault="00BE1D75" w:rsidP="009C50F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0F7" w:rsidRDefault="009C50F7" w:rsidP="009C50F7">
      <w:r>
        <w:separator/>
      </w:r>
    </w:p>
  </w:footnote>
  <w:footnote w:type="continuationSeparator" w:id="0">
    <w:p w:rsidR="009C50F7" w:rsidRDefault="009C50F7" w:rsidP="009C5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F7" w:rsidRDefault="009C50F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75" w:rsidRDefault="00BE1D7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024DCDD" wp14:editId="2139C0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C50F7" w:rsidRPr="00BE1D75" w:rsidRDefault="009C50F7" w:rsidP="00BE1D7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0F7" w:rsidRDefault="009C50F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75" w:rsidRPr="002D2AF8" w:rsidRDefault="00BE1D75" w:rsidP="009C50F7">
    <w:pPr>
      <w:pStyle w:val="Header"/>
      <w:framePr w:wrap="around"/>
    </w:pPr>
    <w:fldSimple w:instr=" TITLE   \* MERGEFORMAT ">
      <w:r>
        <w:t>Assessment Requirements for FNSTPB505 Apply legal principles in property law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November 2022</w:t>
    </w:r>
    <w:r>
      <w:fldChar w:fldCharType="end"/>
    </w:r>
  </w:p>
  <w:p w:rsidR="00BE1D75" w:rsidRDefault="00BE1D75" w:rsidP="009C50F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5B8A4C2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4A611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C78424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C50F7"/>
    <w:rsid w:val="009C50F7"/>
    <w:rsid w:val="00BE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0F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C50F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C50F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C50F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C50F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C50F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C50F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C50F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C50F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C50F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C50F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C50F7"/>
  </w:style>
  <w:style w:type="character" w:customStyle="1" w:styleId="Heading1Char">
    <w:name w:val="Heading 1 Char"/>
    <w:basedOn w:val="DefaultParagraphFont"/>
    <w:link w:val="Heading1"/>
    <w:rsid w:val="009C50F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C50F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C50F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C50F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C50F7"/>
    <w:rPr>
      <w:b/>
      <w:spacing w:val="0"/>
    </w:rPr>
  </w:style>
  <w:style w:type="paragraph" w:styleId="ListBullet2">
    <w:name w:val="List Bullet 2"/>
    <w:basedOn w:val="List2"/>
    <w:rsid w:val="009C50F7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9C50F7"/>
    <w:rPr>
      <w:i/>
    </w:rPr>
  </w:style>
  <w:style w:type="paragraph" w:customStyle="1" w:styleId="SuperHeading">
    <w:name w:val="SuperHeading"/>
    <w:basedOn w:val="Normal"/>
    <w:rsid w:val="009C50F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C50F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C50F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C50F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C50F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C50F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C50F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C50F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C50F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C50F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C50F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C50F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C50F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C50F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C50F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C50F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C50F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C50F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C50F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C50F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C50F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C50F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C50F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C50F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C50F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C50F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C50F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C50F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C50F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C50F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C50F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C50F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C50F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C50F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C50F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C50F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C50F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C50F7"/>
  </w:style>
  <w:style w:type="paragraph" w:styleId="TableofFigures">
    <w:name w:val="table of figures"/>
    <w:basedOn w:val="Normal"/>
    <w:next w:val="Normal"/>
    <w:semiHidden/>
    <w:rsid w:val="009C50F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C50F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C50F7"/>
    <w:rPr>
      <w:rFonts w:ascii="Wingdings" w:hAnsi="Wingdings"/>
    </w:rPr>
  </w:style>
  <w:style w:type="paragraph" w:customStyle="1" w:styleId="TableHeading">
    <w:name w:val="Table Heading"/>
    <w:basedOn w:val="HeadingBase"/>
    <w:rsid w:val="009C50F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C50F7"/>
    <w:rPr>
      <w:color w:val="0033CC"/>
      <w:u w:val="none"/>
    </w:rPr>
  </w:style>
  <w:style w:type="paragraph" w:customStyle="1" w:styleId="BodyTextRight">
    <w:name w:val="Body Text Right"/>
    <w:basedOn w:val="BodyText"/>
    <w:rsid w:val="009C50F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C50F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C50F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C50F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C50F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C50F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C50F7"/>
    <w:rPr>
      <w:sz w:val="32"/>
    </w:rPr>
  </w:style>
  <w:style w:type="paragraph" w:customStyle="1" w:styleId="HeadingProcedure">
    <w:name w:val="Heading Procedure"/>
    <w:basedOn w:val="HeadingBase"/>
    <w:next w:val="Normal"/>
    <w:rsid w:val="009C50F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C50F7"/>
    <w:pPr>
      <w:spacing w:before="60" w:after="60"/>
    </w:pPr>
  </w:style>
  <w:style w:type="paragraph" w:styleId="ListContinue">
    <w:name w:val="List Continue"/>
    <w:basedOn w:val="List"/>
    <w:rsid w:val="009C50F7"/>
    <w:pPr>
      <w:ind w:firstLine="0"/>
    </w:pPr>
  </w:style>
  <w:style w:type="paragraph" w:customStyle="1" w:styleId="ListNote">
    <w:name w:val="List Note"/>
    <w:basedOn w:val="List"/>
    <w:rsid w:val="009C50F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C50F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C50F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C50F7"/>
    <w:rPr>
      <w:rFonts w:ascii="Courier New" w:hAnsi="Courier New"/>
    </w:rPr>
  </w:style>
  <w:style w:type="paragraph" w:customStyle="1" w:styleId="NoteBullet">
    <w:name w:val="Note Bullet"/>
    <w:basedOn w:val="Note"/>
    <w:rsid w:val="009C50F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C50F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C50F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C50F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C50F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C50F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C50F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C50F7"/>
    <w:rPr>
      <w:b/>
      <w:smallCaps/>
    </w:rPr>
  </w:style>
  <w:style w:type="paragraph" w:customStyle="1" w:styleId="TableListNumber">
    <w:name w:val="Table List Number"/>
    <w:basedOn w:val="ListNumber"/>
    <w:rsid w:val="009C50F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C50F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C50F7"/>
    <w:pPr>
      <w:numPr>
        <w:numId w:val="9"/>
      </w:numPr>
    </w:pPr>
  </w:style>
  <w:style w:type="paragraph" w:customStyle="1" w:styleId="ListAlpha2">
    <w:name w:val="List Alpha 2"/>
    <w:basedOn w:val="List2"/>
    <w:rsid w:val="009C50F7"/>
    <w:pPr>
      <w:numPr>
        <w:numId w:val="8"/>
      </w:numPr>
    </w:pPr>
  </w:style>
  <w:style w:type="paragraph" w:styleId="List2">
    <w:name w:val="List 2"/>
    <w:basedOn w:val="BodyText"/>
    <w:rsid w:val="009C50F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C50F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C50F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C50F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C50F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C50F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C50F7"/>
    <w:pPr>
      <w:numPr>
        <w:numId w:val="4"/>
      </w:numPr>
    </w:pPr>
  </w:style>
  <w:style w:type="paragraph" w:styleId="ListContinue2">
    <w:name w:val="List Continue 2"/>
    <w:basedOn w:val="List2"/>
    <w:rsid w:val="009C50F7"/>
    <w:pPr>
      <w:ind w:firstLine="0"/>
    </w:pPr>
  </w:style>
  <w:style w:type="paragraph" w:styleId="ListContinue3">
    <w:name w:val="List Continue 3"/>
    <w:basedOn w:val="List3"/>
    <w:rsid w:val="009C50F7"/>
    <w:pPr>
      <w:ind w:left="1021" w:firstLine="0"/>
    </w:pPr>
  </w:style>
  <w:style w:type="paragraph" w:styleId="ListContinue4">
    <w:name w:val="List Continue 4"/>
    <w:basedOn w:val="List4"/>
    <w:rsid w:val="009C50F7"/>
    <w:pPr>
      <w:ind w:firstLine="0"/>
    </w:pPr>
  </w:style>
  <w:style w:type="paragraph" w:styleId="ListContinue5">
    <w:name w:val="List Continue 5"/>
    <w:basedOn w:val="List5"/>
    <w:rsid w:val="009C50F7"/>
    <w:pPr>
      <w:ind w:firstLine="0"/>
    </w:pPr>
  </w:style>
  <w:style w:type="paragraph" w:styleId="ListNumber3">
    <w:name w:val="List Number 3"/>
    <w:basedOn w:val="List3"/>
    <w:rsid w:val="009C50F7"/>
    <w:pPr>
      <w:numPr>
        <w:numId w:val="5"/>
      </w:numPr>
    </w:pPr>
  </w:style>
  <w:style w:type="paragraph" w:styleId="ListNumber4">
    <w:name w:val="List Number 4"/>
    <w:basedOn w:val="List4"/>
    <w:rsid w:val="009C50F7"/>
    <w:pPr>
      <w:numPr>
        <w:numId w:val="6"/>
      </w:numPr>
    </w:pPr>
  </w:style>
  <w:style w:type="paragraph" w:styleId="ListNumber5">
    <w:name w:val="List Number 5"/>
    <w:basedOn w:val="List5"/>
    <w:rsid w:val="009C50F7"/>
    <w:pPr>
      <w:numPr>
        <w:numId w:val="7"/>
      </w:numPr>
    </w:pPr>
  </w:style>
  <w:style w:type="paragraph" w:styleId="BlockText">
    <w:name w:val="Block Text"/>
    <w:basedOn w:val="Normal"/>
    <w:rsid w:val="009C50F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C50F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C50F7"/>
    <w:rPr>
      <w:sz w:val="16"/>
      <w:vertAlign w:val="superscript"/>
    </w:rPr>
  </w:style>
  <w:style w:type="character" w:customStyle="1" w:styleId="Symbols">
    <w:name w:val="Symbols"/>
    <w:basedOn w:val="DefaultParagraphFont"/>
    <w:rsid w:val="009C50F7"/>
    <w:rPr>
      <w:rFonts w:ascii="Symbol" w:hAnsi="Symbol"/>
    </w:rPr>
  </w:style>
  <w:style w:type="character" w:customStyle="1" w:styleId="MenuOptions">
    <w:name w:val="Menu Options"/>
    <w:basedOn w:val="DefaultParagraphFont"/>
    <w:rsid w:val="009C50F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C50F7"/>
    <w:rPr>
      <w:b/>
    </w:rPr>
  </w:style>
  <w:style w:type="character" w:customStyle="1" w:styleId="Underlined">
    <w:name w:val="Underlined"/>
    <w:basedOn w:val="DefaultParagraphFont"/>
    <w:rsid w:val="009C50F7"/>
    <w:rPr>
      <w:u w:val="single"/>
    </w:rPr>
  </w:style>
  <w:style w:type="paragraph" w:customStyle="1" w:styleId="TableBodyTextRight">
    <w:name w:val="Table Body Text Right"/>
    <w:basedOn w:val="TableBodyText"/>
    <w:rsid w:val="009C50F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C50F7"/>
    <w:rPr>
      <w:sz w:val="18"/>
    </w:rPr>
  </w:style>
  <w:style w:type="paragraph" w:customStyle="1" w:styleId="BodySmallRight">
    <w:name w:val="Body Small Right"/>
    <w:basedOn w:val="BodyTextRight"/>
    <w:rsid w:val="009C50F7"/>
    <w:rPr>
      <w:sz w:val="18"/>
      <w:szCs w:val="18"/>
    </w:rPr>
  </w:style>
  <w:style w:type="paragraph" w:customStyle="1" w:styleId="MarginEdition">
    <w:name w:val="Margin Edition"/>
    <w:basedOn w:val="MarginNote"/>
    <w:rsid w:val="009C50F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C50F7"/>
    <w:rPr>
      <w:sz w:val="2"/>
      <w:szCs w:val="2"/>
    </w:rPr>
  </w:style>
  <w:style w:type="character" w:customStyle="1" w:styleId="Small">
    <w:name w:val="Small"/>
    <w:basedOn w:val="DefaultParagraphFont"/>
    <w:rsid w:val="009C50F7"/>
    <w:rPr>
      <w:sz w:val="16"/>
    </w:rPr>
  </w:style>
  <w:style w:type="paragraph" w:customStyle="1" w:styleId="WideTable">
    <w:name w:val="Wide Table"/>
    <w:basedOn w:val="Normal"/>
    <w:rsid w:val="009C50F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C50F7"/>
  </w:style>
  <w:style w:type="paragraph" w:styleId="Quote">
    <w:name w:val="Quote"/>
    <w:basedOn w:val="Heading1"/>
    <w:link w:val="QuoteChar"/>
    <w:qFormat/>
    <w:rsid w:val="009C50F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C50F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C50F7"/>
    <w:pPr>
      <w:pageBreakBefore/>
    </w:pPr>
  </w:style>
  <w:style w:type="paragraph" w:customStyle="1" w:styleId="Border">
    <w:name w:val="Border"/>
    <w:basedOn w:val="Normal"/>
    <w:qFormat/>
    <w:rsid w:val="009C50F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C50F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0F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0F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C50F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C50F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C50F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C50F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C50F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C50F7"/>
    <w:rPr>
      <w:u w:val="single"/>
    </w:rPr>
  </w:style>
  <w:style w:type="character" w:customStyle="1" w:styleId="BoldandItalics">
    <w:name w:val="Bold and Italics"/>
    <w:qFormat/>
    <w:rsid w:val="009C50F7"/>
    <w:rPr>
      <w:b/>
      <w:i/>
      <w:u w:val="none"/>
    </w:rPr>
  </w:style>
  <w:style w:type="paragraph" w:styleId="BalloonText">
    <w:name w:val="Balloon Text"/>
    <w:basedOn w:val="Normal"/>
    <w:link w:val="BalloonTextChar"/>
    <w:rsid w:val="009C50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50F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C50F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C50F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C50F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C50F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C50F7"/>
    <w:pPr>
      <w:spacing w:before="0" w:after="0"/>
    </w:pPr>
  </w:style>
  <w:style w:type="paragraph" w:customStyle="1" w:styleId="BodyTextBold">
    <w:name w:val="Body Text Bold"/>
    <w:basedOn w:val="BodyText"/>
    <w:qFormat/>
    <w:rsid w:val="009C50F7"/>
    <w:rPr>
      <w:b/>
    </w:rPr>
  </w:style>
  <w:style w:type="character" w:styleId="Hyperlink">
    <w:name w:val="Hyperlink"/>
    <w:basedOn w:val="DefaultParagraphFont"/>
    <w:uiPriority w:val="99"/>
    <w:unhideWhenUsed/>
    <w:rsid w:val="00BE1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tpb.gov.a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c7200cc8-0566-4f04-b76f-e89fd6f102f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2709</Characters>
  <Application>Microsoft Office Word</Application>
  <DocSecurity>0</DocSecurity>
  <Lines>82</Lines>
  <Paragraphs>60</Paragraphs>
  <ScaleCrop>false</ScaleCrop>
  <Company>Author-it Software Corporation Ltd.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FNSTPB505 Apply legal principles in property law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2022-11-03T07:46:00Z</dcterms:created>
  <dcterms:modified xsi:type="dcterms:W3CDTF">2022-11-03T07:46:00Z</dcterms:modified>
</cp:coreProperties>
</file>