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88" w:rsidRDefault="00B73788" w:rsidP="00B73788">
      <w:pPr>
        <w:pStyle w:val="Title"/>
      </w:pPr>
      <w:fldSimple w:instr=" TITLE   \* MERGEFORMAT ">
        <w:r>
          <w:t>DEFCPL001 Evaluate and review safety cases</w:t>
        </w:r>
      </w:fldSimple>
    </w:p>
    <w:p w:rsidR="00B73788" w:rsidRDefault="00B73788" w:rsidP="00B73788">
      <w:pPr>
        <w:pStyle w:val="Version"/>
        <w:sectPr w:rsidR="00B73788" w:rsidSect="007C21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C219E" w:rsidRDefault="00B73788" w:rsidP="007C219E">
      <w:pPr>
        <w:pStyle w:val="SuperHeading"/>
      </w:pPr>
      <w:r w:rsidRPr="007C219E">
        <w:lastRenderedPageBreak/>
        <w:t>DEFCPL001 Evaluate and review safety cases</w:t>
      </w:r>
    </w:p>
    <w:p w:rsidR="00000000" w:rsidRPr="007C219E" w:rsidRDefault="00B73788" w:rsidP="007C219E">
      <w:pPr>
        <w:pStyle w:val="Heading1"/>
      </w:pPr>
      <w:bookmarkStart w:id="1" w:name="O_956577"/>
      <w:bookmarkEnd w:id="1"/>
      <w:r w:rsidRPr="007C219E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7C219E" w:rsidTr="007C219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t>Release 1. This is the first release of this unit of competency in the DEF Defence Training Package.</w:t>
            </w:r>
          </w:p>
        </w:tc>
      </w:tr>
    </w:tbl>
    <w:p w:rsidR="00000000" w:rsidRPr="007C219E" w:rsidRDefault="00B73788" w:rsidP="007C219E">
      <w:pPr>
        <w:pStyle w:val="NoPaddingFontSize1"/>
      </w:pPr>
    </w:p>
    <w:p w:rsidR="00000000" w:rsidRPr="007C219E" w:rsidRDefault="00B73788" w:rsidP="007C219E">
      <w:pPr>
        <w:pStyle w:val="AllowPageBreak"/>
      </w:pPr>
    </w:p>
    <w:p w:rsidR="00000000" w:rsidRPr="007C219E" w:rsidRDefault="00B73788" w:rsidP="007C219E">
      <w:pPr>
        <w:pStyle w:val="Heading1"/>
      </w:pPr>
      <w:bookmarkStart w:id="2" w:name="O_956578"/>
      <w:bookmarkEnd w:id="2"/>
      <w:r w:rsidRPr="007C219E">
        <w:t>Application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7C219E" w:rsidTr="007C219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t>This unit specifies the skills and knowledge required to ensure compliance requirements through the eva</w:t>
            </w:r>
            <w:r w:rsidRPr="007C219E">
              <w:t>luation and review of safety cases.</w:t>
            </w:r>
          </w:p>
          <w:p w:rsidR="00000000" w:rsidRPr="007C219E" w:rsidRDefault="00B73788" w:rsidP="007C219E">
            <w:pPr>
              <w:pStyle w:val="BodyText"/>
            </w:pPr>
            <w:r w:rsidRPr="007C219E">
              <w:t>It includes developing evaluation plans, analysing a safety case, communicating with stakeholders and making recommendations about certification.</w:t>
            </w:r>
          </w:p>
          <w:p w:rsidR="00000000" w:rsidRPr="007C219E" w:rsidRDefault="00B73788" w:rsidP="007C219E">
            <w:pPr>
              <w:pStyle w:val="BodyText"/>
            </w:pPr>
            <w:r w:rsidRPr="007C219E">
              <w:t>This unit applies to Defence workers involved in the evaluation and review</w:t>
            </w:r>
            <w:r w:rsidRPr="007C219E">
              <w:t xml:space="preserve"> of safety cases but is applicable to all individuals who work in this field.</w:t>
            </w:r>
          </w:p>
          <w:p w:rsidR="00000000" w:rsidRPr="007C219E" w:rsidRDefault="00B73788" w:rsidP="007C219E">
            <w:pPr>
              <w:pStyle w:val="BodyText"/>
            </w:pPr>
            <w:r w:rsidRPr="007C219E">
              <w:t>The skills and knowledge described in this unit must be applied within the legislative, regulatory and policy environment in which they are carried out. Organisational policies a</w:t>
            </w:r>
            <w:r w:rsidRPr="007C219E">
              <w:t>nd procedures must be consulted and adhered to.</w:t>
            </w:r>
          </w:p>
          <w:p w:rsidR="00000000" w:rsidRPr="007C219E" w:rsidRDefault="00B73788" w:rsidP="007C219E">
            <w:pPr>
              <w:pStyle w:val="BodyText"/>
            </w:pPr>
            <w:r w:rsidRPr="007C219E">
              <w:t>Persons undertaking this unit work independently and as part of a team under direct and indirect supervision, and perform routine tasks in familiar contexts.</w:t>
            </w:r>
          </w:p>
          <w:p w:rsidR="00000000" w:rsidRPr="007C219E" w:rsidRDefault="00B73788" w:rsidP="007C219E">
            <w:pPr>
              <w:pStyle w:val="BodyText"/>
            </w:pPr>
            <w:r w:rsidRPr="007C219E">
              <w:t>No licensing, legislative or certification require</w:t>
            </w:r>
            <w:r w:rsidRPr="007C219E">
              <w:t>ments apply to this unit at the time of publication.</w:t>
            </w:r>
          </w:p>
        </w:tc>
      </w:tr>
    </w:tbl>
    <w:p w:rsidR="00000000" w:rsidRPr="007C219E" w:rsidRDefault="00B73788" w:rsidP="007C219E">
      <w:pPr>
        <w:pStyle w:val="NoPaddingFontSize1"/>
      </w:pPr>
    </w:p>
    <w:p w:rsidR="00000000" w:rsidRPr="007C219E" w:rsidRDefault="00B73788" w:rsidP="007C219E">
      <w:pPr>
        <w:pStyle w:val="AllowPageBreak"/>
      </w:pPr>
    </w:p>
    <w:p w:rsidR="00000000" w:rsidRPr="007C219E" w:rsidRDefault="00B73788" w:rsidP="007C219E">
      <w:pPr>
        <w:pStyle w:val="Heading1"/>
      </w:pPr>
      <w:bookmarkStart w:id="3" w:name="O_956579"/>
      <w:bookmarkEnd w:id="3"/>
      <w:r w:rsidRPr="007C219E">
        <w:t>Pre-requisite Unit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7C219E" w:rsidTr="007C219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t>Not applicable</w:t>
            </w:r>
          </w:p>
        </w:tc>
      </w:tr>
    </w:tbl>
    <w:p w:rsidR="00000000" w:rsidRPr="007C219E" w:rsidRDefault="00B73788" w:rsidP="007C219E">
      <w:pPr>
        <w:pStyle w:val="NoPaddingFontSize1"/>
      </w:pPr>
    </w:p>
    <w:p w:rsidR="00000000" w:rsidRPr="007C219E" w:rsidRDefault="00B73788" w:rsidP="007C219E">
      <w:pPr>
        <w:pStyle w:val="AllowPageBreak"/>
      </w:pPr>
    </w:p>
    <w:p w:rsidR="00000000" w:rsidRPr="007C219E" w:rsidRDefault="00B73788" w:rsidP="007C219E">
      <w:pPr>
        <w:pStyle w:val="Heading1"/>
      </w:pPr>
      <w:bookmarkStart w:id="4" w:name="O_956580"/>
      <w:bookmarkEnd w:id="4"/>
      <w:r w:rsidRPr="007C219E">
        <w:t>Competency Field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7C219E" w:rsidTr="007C219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t>Compliance</w:t>
            </w:r>
          </w:p>
        </w:tc>
      </w:tr>
    </w:tbl>
    <w:p w:rsidR="00000000" w:rsidRPr="007C219E" w:rsidRDefault="00B73788" w:rsidP="007C219E">
      <w:pPr>
        <w:pStyle w:val="NoPaddingFontSize1"/>
      </w:pPr>
    </w:p>
    <w:p w:rsidR="00000000" w:rsidRPr="007C219E" w:rsidRDefault="00B73788" w:rsidP="007C219E">
      <w:pPr>
        <w:pStyle w:val="AllowPageBreak"/>
      </w:pPr>
    </w:p>
    <w:p w:rsidR="00000000" w:rsidRPr="007C219E" w:rsidRDefault="00B73788" w:rsidP="007C219E">
      <w:pPr>
        <w:pStyle w:val="Heading1"/>
      </w:pPr>
      <w:bookmarkStart w:id="5" w:name="O_956581"/>
      <w:bookmarkEnd w:id="5"/>
      <w:r w:rsidRPr="007C219E">
        <w:t>Unit Sector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7C219E" w:rsidTr="007C219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t>Not applicable.</w:t>
            </w:r>
          </w:p>
        </w:tc>
      </w:tr>
    </w:tbl>
    <w:p w:rsidR="00000000" w:rsidRPr="007C219E" w:rsidRDefault="00B73788" w:rsidP="007C219E">
      <w:pPr>
        <w:pStyle w:val="NoPaddingFontSize1"/>
      </w:pPr>
    </w:p>
    <w:p w:rsidR="00000000" w:rsidRPr="007C219E" w:rsidRDefault="00B73788" w:rsidP="007C219E">
      <w:pPr>
        <w:pStyle w:val="AllowPageBreak"/>
      </w:pPr>
    </w:p>
    <w:p w:rsidR="00000000" w:rsidRPr="007C219E" w:rsidRDefault="00B73788" w:rsidP="007C219E">
      <w:pPr>
        <w:pStyle w:val="Heading1"/>
      </w:pPr>
      <w:bookmarkStart w:id="6" w:name="O_956582"/>
      <w:bookmarkEnd w:id="6"/>
      <w:r w:rsidRPr="007C219E">
        <w:t>Elements and Performance Criteria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64"/>
        <w:gridCol w:w="2744"/>
        <w:gridCol w:w="697"/>
        <w:gridCol w:w="5592"/>
      </w:tblGrid>
      <w:tr w:rsidR="007C219E" w:rsidTr="007C219E">
        <w:tc>
          <w:tcPr>
            <w:tcW w:w="320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rPr>
                <w:rStyle w:val="SpecialBold"/>
              </w:rPr>
              <w:t>ELEMENTS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PERFORMANCE CRITERIA</w:t>
            </w:r>
          </w:p>
        </w:tc>
      </w:tr>
      <w:tr w:rsidR="007C219E" w:rsidRPr="007C219E" w:rsidTr="007C219E">
        <w:tc>
          <w:tcPr>
            <w:tcW w:w="320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Elements describe the essential outcomes.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Performance criteria describe the performance needed to demonstrate achievement of the element.</w:t>
            </w:r>
          </w:p>
        </w:tc>
      </w:tr>
      <w:tr w:rsidR="00000000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rPr>
                <w:rStyle w:val="SpecialBold"/>
              </w:rPr>
              <w:lastRenderedPageBreak/>
              <w:t xml:space="preserve">1 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rPr>
                <w:rStyle w:val="SpecialBold"/>
              </w:rPr>
              <w:t>Develop an evaluation plan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1.1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Determine evaluation criteria in accordance with safety case procedure</w:t>
            </w:r>
          </w:p>
        </w:tc>
      </w:tr>
      <w:tr w:rsidR="00000000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1.2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Develop an evaluation methodology to ensure sufficiently valid and reliable outcomes for safety case review</w:t>
            </w:r>
          </w:p>
        </w:tc>
      </w:tr>
      <w:tr w:rsidR="00000000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1.3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Research safety case evaluation and review and seek clarify</w:t>
            </w:r>
            <w:r w:rsidRPr="007C219E">
              <w:t>ing advice from stakeholders, as required</w:t>
            </w:r>
          </w:p>
        </w:tc>
      </w:tr>
      <w:tr w:rsidR="00000000" w:rsidRPr="007C219E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1.4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Liaise with stakeholders to develop evaluation plan</w:t>
            </w:r>
          </w:p>
        </w:tc>
      </w:tr>
      <w:tr w:rsidR="00000000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rPr>
                <w:rStyle w:val="SpecialBold"/>
              </w:rPr>
              <w:t>2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rPr>
                <w:rStyle w:val="SpecialBold"/>
              </w:rPr>
              <w:t>Analyse a safety case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2.1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Analyse safety case data in accordance with planned methodology</w:t>
            </w:r>
          </w:p>
        </w:tc>
      </w:tr>
      <w:tr w:rsidR="00000000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2.2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Review initial outcomes and findings and discuss with s</w:t>
            </w:r>
            <w:r w:rsidRPr="007C219E">
              <w:t>takeholders in accordance with planned methodology</w:t>
            </w:r>
          </w:p>
        </w:tc>
      </w:tr>
      <w:tr w:rsidR="00000000" w:rsidRPr="007C219E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2.3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Conduct additional data collection and analysis to clarify aspects of initial findings, as required</w:t>
            </w:r>
          </w:p>
        </w:tc>
      </w:tr>
      <w:tr w:rsidR="00000000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rPr>
                <w:rStyle w:val="SpecialBold"/>
              </w:rPr>
              <w:t>3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rPr>
                <w:rStyle w:val="SpecialBold"/>
              </w:rPr>
              <w:t>Evaluate and review findings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3.1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Prepare a draft report on safety case outcomes, findings and recommendations in accordance with planned methodology</w:t>
            </w:r>
          </w:p>
        </w:tc>
      </w:tr>
      <w:tr w:rsidR="00000000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3.2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Discuss draft report with relevant stakeholders and seek feedback, as required</w:t>
            </w:r>
          </w:p>
        </w:tc>
      </w:tr>
      <w:tr w:rsidR="00000000" w:rsidRPr="007C219E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3.3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Update and edit report b</w:t>
            </w:r>
            <w:r w:rsidRPr="007C219E">
              <w:t>ased on stakeholder feedback</w:t>
            </w:r>
          </w:p>
        </w:tc>
      </w:tr>
      <w:tr w:rsidR="00000000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rPr>
                <w:rStyle w:val="SpecialBold"/>
              </w:rPr>
              <w:t>4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rPr>
                <w:rStyle w:val="SpecialBold"/>
              </w:rPr>
              <w:t>Disseminate evaluation outcomes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4.1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Produce report and disseminate to relevant stakeholders in accordance with planned methodology</w:t>
            </w:r>
          </w:p>
        </w:tc>
      </w:tr>
      <w:tr w:rsidR="00000000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4.2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t>Forward recommendations about certification to delegate for action in accordance with organisational procedures</w:t>
            </w:r>
          </w:p>
        </w:tc>
      </w:tr>
      <w:tr w:rsidR="00000000" w:rsidRPr="007C219E" w:rsidTr="007C219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73788" w:rsidP="007C219E">
            <w:pPr>
              <w:pStyle w:val="BodyText"/>
              <w:rPr>
                <w:lang w:val="en-NZ"/>
              </w:rPr>
            </w:pPr>
            <w:r w:rsidRPr="007C219E">
              <w:rPr>
                <w:rStyle w:val="SpecialBold"/>
              </w:rPr>
              <w:t>4.3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t>Store documentation to meet audit requirements</w:t>
            </w:r>
          </w:p>
        </w:tc>
      </w:tr>
    </w:tbl>
    <w:p w:rsidR="00000000" w:rsidRPr="007C219E" w:rsidRDefault="00B73788" w:rsidP="007C219E">
      <w:pPr>
        <w:pStyle w:val="NoPaddingFontSize1"/>
      </w:pPr>
    </w:p>
    <w:p w:rsidR="00000000" w:rsidRPr="007C219E" w:rsidRDefault="00B73788" w:rsidP="007C219E">
      <w:pPr>
        <w:pStyle w:val="AllowPageBreak"/>
      </w:pPr>
    </w:p>
    <w:p w:rsidR="00000000" w:rsidRPr="007C219E" w:rsidRDefault="00B73788" w:rsidP="007C219E">
      <w:pPr>
        <w:pStyle w:val="Heading1"/>
      </w:pPr>
      <w:bookmarkStart w:id="7" w:name="O_956583"/>
      <w:bookmarkEnd w:id="7"/>
      <w:r w:rsidRPr="007C219E">
        <w:t>Foundation Skills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7C219E" w:rsidTr="007C219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t>Foundation skills essential to performance are explic</w:t>
            </w:r>
            <w:r w:rsidRPr="007C219E">
              <w:t>it in the performance criteria of this unit of competency.</w:t>
            </w:r>
          </w:p>
        </w:tc>
      </w:tr>
    </w:tbl>
    <w:p w:rsidR="00000000" w:rsidRPr="007C219E" w:rsidRDefault="00B73788" w:rsidP="007C219E">
      <w:pPr>
        <w:pStyle w:val="NoPaddingFontSize1"/>
      </w:pPr>
    </w:p>
    <w:p w:rsidR="00000000" w:rsidRPr="007C219E" w:rsidRDefault="00B73788" w:rsidP="007C219E">
      <w:pPr>
        <w:pStyle w:val="AllowPageBreak"/>
      </w:pPr>
    </w:p>
    <w:p w:rsidR="00000000" w:rsidRPr="007C219E" w:rsidRDefault="00B73788" w:rsidP="007C219E">
      <w:pPr>
        <w:pStyle w:val="Heading1"/>
      </w:pPr>
      <w:bookmarkStart w:id="8" w:name="O_956584"/>
      <w:bookmarkEnd w:id="8"/>
      <w:r w:rsidRPr="007C219E">
        <w:t>Range of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7C219E" w:rsidTr="007C219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t xml:space="preserve">Range is restricted to essential operating conditions and any other variables essential to the work </w:t>
            </w:r>
            <w:r w:rsidRPr="007C219E">
              <w:lastRenderedPageBreak/>
              <w:t>environment.</w:t>
            </w:r>
          </w:p>
          <w:p w:rsidR="00000000" w:rsidRPr="007C219E" w:rsidRDefault="00B73788" w:rsidP="007C219E">
            <w:pPr>
              <w:pStyle w:val="BodyText"/>
            </w:pPr>
            <w:r w:rsidRPr="007C219E">
              <w:t>Non-essential conditions may be found in the Companion Volume Implementation Guide.</w:t>
            </w:r>
          </w:p>
        </w:tc>
      </w:tr>
    </w:tbl>
    <w:p w:rsidR="00000000" w:rsidRPr="007C219E" w:rsidRDefault="00B73788" w:rsidP="007C219E">
      <w:pPr>
        <w:pStyle w:val="NoPaddingFontSize1"/>
      </w:pPr>
    </w:p>
    <w:p w:rsidR="00000000" w:rsidRPr="007C219E" w:rsidRDefault="00B73788" w:rsidP="007C219E">
      <w:pPr>
        <w:pStyle w:val="AllowPageBreak"/>
      </w:pPr>
    </w:p>
    <w:p w:rsidR="00000000" w:rsidRPr="007C219E" w:rsidRDefault="00B73788" w:rsidP="007C219E">
      <w:pPr>
        <w:pStyle w:val="Heading1"/>
      </w:pPr>
      <w:bookmarkStart w:id="9" w:name="O_956585"/>
      <w:bookmarkEnd w:id="9"/>
      <w:r w:rsidRPr="007C219E">
        <w:t>Unit Mapping Information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7C219E" w:rsidTr="007C219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C219E" w:rsidRDefault="00B73788" w:rsidP="007C219E">
            <w:pPr>
              <w:pStyle w:val="BodyText"/>
            </w:pPr>
            <w:r w:rsidRPr="007C219E">
              <w:t>This unit replaces and is equivalent to DEFCP001A Evaluate and review safety cases.</w:t>
            </w:r>
          </w:p>
        </w:tc>
      </w:tr>
    </w:tbl>
    <w:p w:rsidR="00000000" w:rsidRPr="007C219E" w:rsidRDefault="00B73788" w:rsidP="007C219E">
      <w:pPr>
        <w:pStyle w:val="NoPaddingFontSize1"/>
      </w:pPr>
    </w:p>
    <w:p w:rsidR="00000000" w:rsidRPr="007C219E" w:rsidRDefault="00B73788" w:rsidP="007C219E">
      <w:pPr>
        <w:pStyle w:val="AllowPageBreak"/>
      </w:pPr>
    </w:p>
    <w:p w:rsidR="00000000" w:rsidRPr="007C219E" w:rsidRDefault="00B73788" w:rsidP="007C219E">
      <w:pPr>
        <w:pStyle w:val="Heading1"/>
      </w:pPr>
      <w:bookmarkStart w:id="10" w:name="O_956592"/>
      <w:bookmarkEnd w:id="10"/>
      <w:r w:rsidRPr="007C219E">
        <w:t>Links</w:t>
      </w:r>
    </w:p>
    <w:p w:rsidR="00000000" w:rsidRPr="007C219E" w:rsidRDefault="00B73788" w:rsidP="00B73788">
      <w:pPr>
        <w:pStyle w:val="BodyText"/>
      </w:pPr>
      <w:r w:rsidRPr="007C219E">
        <w:t>Companion Volume im</w:t>
      </w:r>
      <w:r w:rsidRPr="007C219E">
        <w:t xml:space="preserve">plementation guides are found in VETNet - </w:t>
      </w:r>
      <w:hyperlink r:id="rId13" w:history="1">
        <w:r w:rsidRPr="000065BD">
          <w:rPr>
            <w:rStyle w:val="Hyperlink"/>
          </w:rPr>
          <w:t>https://vetnet.gov.au/Pages/TrainingDocs.aspx?q=6bdbab1e-11ed-4bc9-9cba-9e1a55d4e4a9</w:t>
        </w:r>
      </w:hyperlink>
    </w:p>
    <w:p w:rsidR="00000000" w:rsidRPr="007C219E" w:rsidRDefault="00B73788" w:rsidP="007C219E"/>
    <w:sectPr w:rsidR="00000000" w:rsidRPr="007C219E" w:rsidSect="007C219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19E" w:rsidRDefault="007C219E" w:rsidP="007C219E">
      <w:r>
        <w:separator/>
      </w:r>
    </w:p>
  </w:endnote>
  <w:endnote w:type="continuationSeparator" w:id="0">
    <w:p w:rsidR="007C219E" w:rsidRDefault="007C219E" w:rsidP="007C2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9E" w:rsidRDefault="007C219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9E" w:rsidRPr="00B73788" w:rsidRDefault="007C219E" w:rsidP="00B73788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9E" w:rsidRDefault="007C219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88" w:rsidRDefault="00B73788" w:rsidP="007C219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B73788" w:rsidRDefault="00B73788" w:rsidP="007C219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2024</w:t>
    </w:r>
    <w:r>
      <w:fldChar w:fldCharType="end"/>
    </w:r>
    <w:r>
      <w:tab/>
    </w:r>
    <w:fldSimple w:instr=" DOCPROPERTY  Author  \* MERGEFORMAT ">
      <w:r>
        <w:t>Public Skills Australia</w:t>
      </w:r>
    </w:fldSimple>
  </w:p>
  <w:p w:rsidR="00B73788" w:rsidRDefault="00B73788" w:rsidP="007C219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19E" w:rsidRDefault="007C219E" w:rsidP="007C219E">
      <w:r>
        <w:separator/>
      </w:r>
    </w:p>
  </w:footnote>
  <w:footnote w:type="continuationSeparator" w:id="0">
    <w:p w:rsidR="007C219E" w:rsidRDefault="007C219E" w:rsidP="007C2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9E" w:rsidRDefault="007C219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88" w:rsidRDefault="00B7378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7A8827D" wp14:editId="26A2D1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C219E" w:rsidRPr="00B73788" w:rsidRDefault="007C219E" w:rsidP="00B73788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9E" w:rsidRDefault="007C219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88" w:rsidRPr="002D2AF8" w:rsidRDefault="00B73788" w:rsidP="007C219E">
    <w:pPr>
      <w:pStyle w:val="Header"/>
      <w:framePr w:wrap="around"/>
    </w:pPr>
    <w:fldSimple w:instr=" TITLE   \* MERGEFORMAT ">
      <w:r>
        <w:t>DEFCPL001 Evaluate and review safety cases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March 2024</w:t>
    </w:r>
    <w:r>
      <w:fldChar w:fldCharType="end"/>
    </w:r>
  </w:p>
  <w:p w:rsidR="00B73788" w:rsidRDefault="00B73788" w:rsidP="007C219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C219E"/>
    <w:rsid w:val="007C219E"/>
    <w:rsid w:val="00B7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19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C219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C219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C219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C219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C219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C219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C219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219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C219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C219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C219E"/>
  </w:style>
  <w:style w:type="character" w:customStyle="1" w:styleId="Heading1Char">
    <w:name w:val="Heading 1 Char"/>
    <w:basedOn w:val="DefaultParagraphFont"/>
    <w:link w:val="Heading1"/>
    <w:rsid w:val="007C219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C219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C219E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7C219E"/>
    <w:rPr>
      <w:b/>
      <w:spacing w:val="0"/>
    </w:rPr>
  </w:style>
  <w:style w:type="paragraph" w:customStyle="1" w:styleId="SuperHeading">
    <w:name w:val="SuperHeading"/>
    <w:basedOn w:val="Normal"/>
    <w:rsid w:val="007C219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C219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7C219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C219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C219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C219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C219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C219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C219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C219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C219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C219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C219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C219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C219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C219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C219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C219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C219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C219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C219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C219E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7C219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C219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C219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C219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C219E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C219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C219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C219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C219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C219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C219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C219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C219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C219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C219E"/>
    <w:rPr>
      <w:i/>
    </w:rPr>
  </w:style>
  <w:style w:type="paragraph" w:styleId="Caption">
    <w:name w:val="caption"/>
    <w:basedOn w:val="BodyText"/>
    <w:next w:val="Normal"/>
    <w:qFormat/>
    <w:rsid w:val="007C219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C219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C219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C219E"/>
  </w:style>
  <w:style w:type="paragraph" w:styleId="TableofFigures">
    <w:name w:val="table of figures"/>
    <w:basedOn w:val="Normal"/>
    <w:next w:val="Normal"/>
    <w:semiHidden/>
    <w:rsid w:val="007C219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C219E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7C219E"/>
    <w:rPr>
      <w:rFonts w:ascii="Wingdings" w:hAnsi="Wingdings"/>
    </w:rPr>
  </w:style>
  <w:style w:type="paragraph" w:customStyle="1" w:styleId="TableHeading">
    <w:name w:val="Table Heading"/>
    <w:basedOn w:val="HeadingBase"/>
    <w:rsid w:val="007C219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C219E"/>
    <w:rPr>
      <w:color w:val="0033CC"/>
      <w:u w:val="none"/>
    </w:rPr>
  </w:style>
  <w:style w:type="paragraph" w:customStyle="1" w:styleId="BodyTextRight">
    <w:name w:val="Body Text Right"/>
    <w:basedOn w:val="BodyText"/>
    <w:rsid w:val="007C219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C219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C219E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C219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C219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C219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C219E"/>
    <w:rPr>
      <w:sz w:val="32"/>
    </w:rPr>
  </w:style>
  <w:style w:type="paragraph" w:customStyle="1" w:styleId="HeadingProcedure">
    <w:name w:val="Heading Procedure"/>
    <w:basedOn w:val="HeadingBase"/>
    <w:next w:val="Normal"/>
    <w:rsid w:val="007C219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C219E"/>
    <w:pPr>
      <w:spacing w:before="60" w:after="60"/>
    </w:pPr>
  </w:style>
  <w:style w:type="paragraph" w:styleId="ListContinue">
    <w:name w:val="List Continue"/>
    <w:basedOn w:val="List"/>
    <w:rsid w:val="007C219E"/>
    <w:pPr>
      <w:ind w:firstLine="0"/>
    </w:pPr>
  </w:style>
  <w:style w:type="paragraph" w:customStyle="1" w:styleId="ListNote">
    <w:name w:val="List Note"/>
    <w:basedOn w:val="List"/>
    <w:rsid w:val="007C219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C219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C219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C219E"/>
    <w:rPr>
      <w:rFonts w:ascii="Courier New" w:hAnsi="Courier New"/>
    </w:rPr>
  </w:style>
  <w:style w:type="paragraph" w:customStyle="1" w:styleId="NoteBullet">
    <w:name w:val="Note Bullet"/>
    <w:basedOn w:val="Note"/>
    <w:rsid w:val="007C219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C219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C219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C219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C219E"/>
    <w:pPr>
      <w:numPr>
        <w:numId w:val="9"/>
      </w:numPr>
    </w:pPr>
  </w:style>
  <w:style w:type="paragraph" w:styleId="PlainText">
    <w:name w:val="Plain Text"/>
    <w:basedOn w:val="Normal"/>
    <w:link w:val="PlainTextChar"/>
    <w:rsid w:val="007C219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C219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C219E"/>
    <w:rPr>
      <w:b/>
      <w:smallCaps/>
    </w:rPr>
  </w:style>
  <w:style w:type="paragraph" w:customStyle="1" w:styleId="TableListNumber">
    <w:name w:val="Table List Number"/>
    <w:basedOn w:val="ListNumber"/>
    <w:rsid w:val="007C219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C219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C219E"/>
    <w:pPr>
      <w:numPr>
        <w:numId w:val="7"/>
      </w:numPr>
    </w:pPr>
  </w:style>
  <w:style w:type="paragraph" w:customStyle="1" w:styleId="ListAlpha2">
    <w:name w:val="List Alpha 2"/>
    <w:basedOn w:val="List2"/>
    <w:rsid w:val="007C219E"/>
    <w:pPr>
      <w:numPr>
        <w:numId w:val="6"/>
      </w:numPr>
    </w:pPr>
  </w:style>
  <w:style w:type="paragraph" w:styleId="List2">
    <w:name w:val="List 2"/>
    <w:basedOn w:val="BodyText"/>
    <w:rsid w:val="007C219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C219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C219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C219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C219E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C219E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7C219E"/>
    <w:pPr>
      <w:numPr>
        <w:numId w:val="2"/>
      </w:numPr>
    </w:pPr>
  </w:style>
  <w:style w:type="paragraph" w:styleId="ListContinue2">
    <w:name w:val="List Continue 2"/>
    <w:basedOn w:val="List2"/>
    <w:rsid w:val="007C219E"/>
    <w:pPr>
      <w:ind w:firstLine="0"/>
    </w:pPr>
  </w:style>
  <w:style w:type="paragraph" w:styleId="ListContinue3">
    <w:name w:val="List Continue 3"/>
    <w:basedOn w:val="List3"/>
    <w:rsid w:val="007C219E"/>
    <w:pPr>
      <w:ind w:left="1021" w:firstLine="0"/>
    </w:pPr>
  </w:style>
  <w:style w:type="paragraph" w:styleId="ListContinue4">
    <w:name w:val="List Continue 4"/>
    <w:basedOn w:val="List4"/>
    <w:rsid w:val="007C219E"/>
    <w:pPr>
      <w:ind w:firstLine="0"/>
    </w:pPr>
  </w:style>
  <w:style w:type="paragraph" w:styleId="ListContinue5">
    <w:name w:val="List Continue 5"/>
    <w:basedOn w:val="List5"/>
    <w:rsid w:val="007C219E"/>
    <w:pPr>
      <w:ind w:firstLine="0"/>
    </w:pPr>
  </w:style>
  <w:style w:type="paragraph" w:styleId="ListNumber3">
    <w:name w:val="List Number 3"/>
    <w:basedOn w:val="List3"/>
    <w:rsid w:val="007C219E"/>
    <w:pPr>
      <w:numPr>
        <w:numId w:val="3"/>
      </w:numPr>
    </w:pPr>
  </w:style>
  <w:style w:type="paragraph" w:styleId="ListNumber4">
    <w:name w:val="List Number 4"/>
    <w:basedOn w:val="List4"/>
    <w:rsid w:val="007C219E"/>
    <w:pPr>
      <w:numPr>
        <w:numId w:val="4"/>
      </w:numPr>
    </w:pPr>
  </w:style>
  <w:style w:type="paragraph" w:styleId="ListNumber5">
    <w:name w:val="List Number 5"/>
    <w:basedOn w:val="List5"/>
    <w:rsid w:val="007C219E"/>
    <w:pPr>
      <w:numPr>
        <w:numId w:val="5"/>
      </w:numPr>
    </w:pPr>
  </w:style>
  <w:style w:type="paragraph" w:styleId="BlockText">
    <w:name w:val="Block Text"/>
    <w:basedOn w:val="Normal"/>
    <w:rsid w:val="007C219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C219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C219E"/>
    <w:rPr>
      <w:sz w:val="16"/>
      <w:vertAlign w:val="superscript"/>
    </w:rPr>
  </w:style>
  <w:style w:type="character" w:customStyle="1" w:styleId="Symbols">
    <w:name w:val="Symbols"/>
    <w:basedOn w:val="DefaultParagraphFont"/>
    <w:rsid w:val="007C219E"/>
    <w:rPr>
      <w:rFonts w:ascii="Symbol" w:hAnsi="Symbol"/>
    </w:rPr>
  </w:style>
  <w:style w:type="character" w:customStyle="1" w:styleId="MenuOptions">
    <w:name w:val="Menu Options"/>
    <w:basedOn w:val="DefaultParagraphFont"/>
    <w:rsid w:val="007C219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C219E"/>
    <w:rPr>
      <w:b/>
    </w:rPr>
  </w:style>
  <w:style w:type="character" w:customStyle="1" w:styleId="Underlined">
    <w:name w:val="Underlined"/>
    <w:basedOn w:val="DefaultParagraphFont"/>
    <w:rsid w:val="007C219E"/>
    <w:rPr>
      <w:u w:val="single"/>
    </w:rPr>
  </w:style>
  <w:style w:type="paragraph" w:customStyle="1" w:styleId="TableBodyTextRight">
    <w:name w:val="Table Body Text Right"/>
    <w:basedOn w:val="TableBodyText"/>
    <w:rsid w:val="007C219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C219E"/>
    <w:rPr>
      <w:sz w:val="18"/>
    </w:rPr>
  </w:style>
  <w:style w:type="paragraph" w:customStyle="1" w:styleId="BodySmallRight">
    <w:name w:val="Body Small Right"/>
    <w:basedOn w:val="BodyTextRight"/>
    <w:rsid w:val="007C219E"/>
    <w:rPr>
      <w:sz w:val="18"/>
      <w:szCs w:val="18"/>
    </w:rPr>
  </w:style>
  <w:style w:type="paragraph" w:customStyle="1" w:styleId="MarginEdition">
    <w:name w:val="Margin Edition"/>
    <w:basedOn w:val="MarginNote"/>
    <w:rsid w:val="007C219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C219E"/>
    <w:rPr>
      <w:sz w:val="2"/>
      <w:szCs w:val="2"/>
    </w:rPr>
  </w:style>
  <w:style w:type="character" w:customStyle="1" w:styleId="Small">
    <w:name w:val="Small"/>
    <w:basedOn w:val="DefaultParagraphFont"/>
    <w:rsid w:val="007C219E"/>
    <w:rPr>
      <w:sz w:val="16"/>
    </w:rPr>
  </w:style>
  <w:style w:type="paragraph" w:customStyle="1" w:styleId="WideTable">
    <w:name w:val="Wide Table"/>
    <w:basedOn w:val="Normal"/>
    <w:rsid w:val="007C219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C219E"/>
  </w:style>
  <w:style w:type="paragraph" w:styleId="Quote">
    <w:name w:val="Quote"/>
    <w:basedOn w:val="Heading1"/>
    <w:link w:val="QuoteChar"/>
    <w:qFormat/>
    <w:rsid w:val="007C219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C219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C219E"/>
    <w:pPr>
      <w:pageBreakBefore/>
    </w:pPr>
  </w:style>
  <w:style w:type="paragraph" w:customStyle="1" w:styleId="Border">
    <w:name w:val="Border"/>
    <w:basedOn w:val="Normal"/>
    <w:qFormat/>
    <w:rsid w:val="007C219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C219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19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19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C219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C219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C219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C219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C219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C219E"/>
    <w:rPr>
      <w:u w:val="single"/>
    </w:rPr>
  </w:style>
  <w:style w:type="character" w:customStyle="1" w:styleId="BoldandItalics">
    <w:name w:val="Bold and Italics"/>
    <w:qFormat/>
    <w:rsid w:val="007C219E"/>
    <w:rPr>
      <w:b/>
      <w:i/>
      <w:u w:val="none"/>
    </w:rPr>
  </w:style>
  <w:style w:type="paragraph" w:styleId="BalloonText">
    <w:name w:val="Balloon Text"/>
    <w:basedOn w:val="Normal"/>
    <w:link w:val="BalloonTextChar"/>
    <w:rsid w:val="007C21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219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C219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C219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C219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C219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C219E"/>
    <w:pPr>
      <w:spacing w:before="0" w:after="0"/>
    </w:pPr>
  </w:style>
  <w:style w:type="paragraph" w:customStyle="1" w:styleId="BodyTextBold">
    <w:name w:val="Body Text Bold"/>
    <w:basedOn w:val="BodyText"/>
    <w:qFormat/>
    <w:rsid w:val="007C219E"/>
    <w:rPr>
      <w:b/>
    </w:rPr>
  </w:style>
  <w:style w:type="character" w:styleId="Hyperlink">
    <w:name w:val="Hyperlink"/>
    <w:basedOn w:val="DefaultParagraphFont"/>
    <w:uiPriority w:val="99"/>
    <w:unhideWhenUsed/>
    <w:rsid w:val="00B737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bdbab1e-11ed-4bc9-9cba-9e1a55d4e4a9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3067</Characters>
  <Application>Microsoft Office Word</Application>
  <DocSecurity>0</DocSecurity>
  <Lines>146</Lines>
  <Paragraphs>80</Paragraphs>
  <ScaleCrop>false</ScaleCrop>
  <Company>Author-it Software Corporation Ltd.</Company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DEFCPL001 Evaluate and review safety cases</dc:title>
  <dc:subject>Approved</dc:subject>
  <dc:creator>Public Skills Australia</dc:creator>
  <cp:keywords>Release: 1</cp:keywords>
  <dc:description>Review Date: 12 April 2008</dc:description>
  <cp:lastModifiedBy>HSD_TPCMSd.prod</cp:lastModifiedBy>
  <cp:revision>3</cp:revision>
  <dcterms:created xsi:type="dcterms:W3CDTF">2024-03-27T02:11:00Z</dcterms:created>
  <dcterms:modified xsi:type="dcterms:W3CDTF">2024-03-27T02:11:00Z</dcterms:modified>
</cp:coreProperties>
</file>