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AA" w:rsidRDefault="00CC34AA" w:rsidP="00CC34AA">
      <w:pPr>
        <w:pStyle w:val="Title"/>
      </w:pPr>
      <w:fldSimple w:instr=" TITLE   \* MERGEFORMAT ">
        <w:r>
          <w:t>Assessment Requirements for CPCCSG3010 Hand render pictorials</w:t>
        </w:r>
      </w:fldSimple>
    </w:p>
    <w:p w:rsidR="00CC34AA" w:rsidRDefault="00CC34AA" w:rsidP="00CC34AA">
      <w:pPr>
        <w:pStyle w:val="Version"/>
        <w:sectPr w:rsidR="00CC34AA" w:rsidSect="001106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106DD" w:rsidRDefault="00CC34AA" w:rsidP="001106DD">
      <w:pPr>
        <w:pStyle w:val="SuperHeading"/>
      </w:pPr>
      <w:r w:rsidRPr="001106DD">
        <w:lastRenderedPageBreak/>
        <w:t>Assessment Requirements for CPCCSG3010 Hand render pictorials</w:t>
      </w:r>
    </w:p>
    <w:p w:rsidR="00000000" w:rsidRPr="001106DD" w:rsidRDefault="00CC34AA" w:rsidP="001106DD">
      <w:pPr>
        <w:pStyle w:val="Heading1"/>
      </w:pPr>
      <w:bookmarkStart w:id="1" w:name="O_832191"/>
      <w:bookmarkEnd w:id="1"/>
      <w:r w:rsidRPr="001106DD">
        <w:t>Modification History</w:t>
      </w:r>
    </w:p>
    <w:p w:rsidR="00000000" w:rsidRPr="001106DD" w:rsidRDefault="00CC34AA" w:rsidP="00CC34AA">
      <w:pPr>
        <w:pStyle w:val="BodyText"/>
      </w:pPr>
      <w:r w:rsidRPr="001106DD">
        <w:t>Release 1.</w:t>
      </w:r>
    </w:p>
    <w:p w:rsidR="00000000" w:rsidRPr="001106DD" w:rsidRDefault="00CC34AA" w:rsidP="00CC34AA">
      <w:pPr>
        <w:pStyle w:val="BodyText"/>
      </w:pPr>
      <w:r w:rsidRPr="001106DD">
        <w:t>This version first released with CPC Construction, Plumbing and Services Training Package Version 2.</w:t>
      </w:r>
    </w:p>
    <w:p w:rsidR="00000000" w:rsidRPr="001106DD" w:rsidRDefault="00CC34AA" w:rsidP="00CC34AA">
      <w:pPr>
        <w:pStyle w:val="BodyText"/>
      </w:pPr>
      <w:r w:rsidRPr="001106DD">
        <w:t>Revised unit of competency. Replaces superseded equivalent CPCCSI3010A Hand render pictorials.</w:t>
      </w:r>
    </w:p>
    <w:p w:rsidR="00000000" w:rsidRPr="001106DD" w:rsidRDefault="00CC34AA" w:rsidP="001106DD">
      <w:pPr>
        <w:pStyle w:val="Heading1"/>
      </w:pPr>
      <w:bookmarkStart w:id="2" w:name="O_832194"/>
      <w:bookmarkEnd w:id="2"/>
      <w:r w:rsidRPr="001106DD">
        <w:t>Performance Evidence</w:t>
      </w:r>
    </w:p>
    <w:p w:rsidR="00000000" w:rsidRPr="001106DD" w:rsidRDefault="00CC34AA" w:rsidP="00CC34AA">
      <w:pPr>
        <w:pStyle w:val="BodyText"/>
      </w:pPr>
      <w:r w:rsidRPr="001106DD">
        <w:t>A person demonstrating competency in this unit must satisfy all of the elements, performance criteria and foundation skills of this unit, and must produce two hand-rendered pictorials as follows:</w:t>
      </w:r>
    </w:p>
    <w:p w:rsidR="00000000" w:rsidRPr="001106DD" w:rsidRDefault="00CC34AA" w:rsidP="001106DD">
      <w:pPr>
        <w:pStyle w:val="ListBullet"/>
      </w:pPr>
      <w:r w:rsidRPr="001106DD">
        <w:t>one must be a portrait of a pe</w:t>
      </w:r>
      <w:r w:rsidRPr="001106DD">
        <w:t>rson, using at least seven different colours, showing facial texture, lines, contouring, light and shade with lettering underneath</w:t>
      </w:r>
    </w:p>
    <w:p w:rsidR="00000000" w:rsidRPr="001106DD" w:rsidRDefault="00CC34AA" w:rsidP="001106DD">
      <w:pPr>
        <w:pStyle w:val="ListBullet"/>
      </w:pPr>
      <w:r w:rsidRPr="001106DD">
        <w:t>one must be a company logo with lettering, using at least four different colours and showing blended and shaded lettering tec</w:t>
      </w:r>
      <w:r w:rsidRPr="001106DD">
        <w:t xml:space="preserve">hniques. </w:t>
      </w:r>
    </w:p>
    <w:p w:rsidR="00000000" w:rsidRPr="001106DD" w:rsidRDefault="00CC34AA" w:rsidP="001106DD">
      <w:pPr>
        <w:pStyle w:val="BodyText"/>
      </w:pPr>
    </w:p>
    <w:p w:rsidR="00000000" w:rsidRPr="001106DD" w:rsidRDefault="00CC34AA" w:rsidP="00CC34AA">
      <w:pPr>
        <w:pStyle w:val="BodyText"/>
      </w:pPr>
      <w:r w:rsidRPr="001106DD">
        <w:t>One of the above hand-rendered pictorials must be produced on a masonry wall measuring at least 1.5 square metres.</w:t>
      </w:r>
    </w:p>
    <w:p w:rsidR="00000000" w:rsidRPr="001106DD" w:rsidRDefault="00CC34AA" w:rsidP="00CC34AA">
      <w:pPr>
        <w:pStyle w:val="BodyText"/>
      </w:pPr>
      <w:r w:rsidRPr="001106DD">
        <w:t>One of the above hand-rendered pictorials must be produced on one of the following:</w:t>
      </w:r>
    </w:p>
    <w:p w:rsidR="00000000" w:rsidRPr="001106DD" w:rsidRDefault="00CC34AA" w:rsidP="001106DD">
      <w:pPr>
        <w:pStyle w:val="ListBullet"/>
      </w:pPr>
      <w:r w:rsidRPr="001106DD">
        <w:t>canvas</w:t>
      </w:r>
    </w:p>
    <w:p w:rsidR="00000000" w:rsidRPr="001106DD" w:rsidRDefault="00CC34AA" w:rsidP="001106DD">
      <w:pPr>
        <w:pStyle w:val="ListBullet"/>
      </w:pPr>
      <w:r w:rsidRPr="001106DD">
        <w:t>glass</w:t>
      </w:r>
    </w:p>
    <w:p w:rsidR="00000000" w:rsidRPr="001106DD" w:rsidRDefault="00CC34AA" w:rsidP="001106DD">
      <w:pPr>
        <w:pStyle w:val="ListBullet"/>
      </w:pPr>
      <w:r w:rsidRPr="001106DD">
        <w:t>metal</w:t>
      </w:r>
    </w:p>
    <w:p w:rsidR="00000000" w:rsidRPr="001106DD" w:rsidRDefault="00CC34AA" w:rsidP="001106DD">
      <w:pPr>
        <w:pStyle w:val="ListBullet"/>
      </w:pPr>
      <w:r w:rsidRPr="001106DD">
        <w:t>paper</w:t>
      </w:r>
    </w:p>
    <w:p w:rsidR="00000000" w:rsidRPr="001106DD" w:rsidRDefault="00CC34AA" w:rsidP="001106DD">
      <w:pPr>
        <w:pStyle w:val="ListBullet"/>
      </w:pPr>
      <w:r w:rsidRPr="001106DD">
        <w:t>timber.</w:t>
      </w:r>
    </w:p>
    <w:p w:rsidR="00000000" w:rsidRPr="001106DD" w:rsidRDefault="00CC34AA" w:rsidP="001106DD">
      <w:pPr>
        <w:pStyle w:val="BodyText"/>
      </w:pPr>
    </w:p>
    <w:p w:rsidR="00000000" w:rsidRPr="001106DD" w:rsidRDefault="00CC34AA" w:rsidP="00CC34AA">
      <w:pPr>
        <w:pStyle w:val="BodyText"/>
      </w:pPr>
      <w:r w:rsidRPr="001106DD">
        <w:t>For each hand-rendered pictorial, the person must demonstrate use of at least two different painting techniques selected from:</w:t>
      </w:r>
    </w:p>
    <w:p w:rsidR="00000000" w:rsidRPr="001106DD" w:rsidRDefault="00CC34AA" w:rsidP="001106DD">
      <w:pPr>
        <w:pStyle w:val="ListBullet"/>
      </w:pPr>
      <w:r w:rsidRPr="001106DD">
        <w:t>posterisation</w:t>
      </w:r>
    </w:p>
    <w:p w:rsidR="00000000" w:rsidRPr="001106DD" w:rsidRDefault="00CC34AA" w:rsidP="001106DD">
      <w:pPr>
        <w:pStyle w:val="ListBullet"/>
      </w:pPr>
      <w:r w:rsidRPr="001106DD">
        <w:t>scumbling</w:t>
      </w:r>
    </w:p>
    <w:p w:rsidR="00000000" w:rsidRPr="001106DD" w:rsidRDefault="00CC34AA" w:rsidP="001106DD">
      <w:pPr>
        <w:pStyle w:val="ListBullet"/>
      </w:pPr>
      <w:r w:rsidRPr="001106DD">
        <w:t>stippling</w:t>
      </w:r>
    </w:p>
    <w:p w:rsidR="00000000" w:rsidRPr="001106DD" w:rsidRDefault="00CC34AA" w:rsidP="001106DD">
      <w:pPr>
        <w:pStyle w:val="ListBullet"/>
      </w:pPr>
      <w:r w:rsidRPr="001106DD">
        <w:t>wet blend.</w:t>
      </w:r>
    </w:p>
    <w:p w:rsidR="00000000" w:rsidRPr="001106DD" w:rsidRDefault="00CC34AA" w:rsidP="001106DD">
      <w:pPr>
        <w:pStyle w:val="BodyText"/>
      </w:pPr>
    </w:p>
    <w:p w:rsidR="00000000" w:rsidRPr="001106DD" w:rsidRDefault="00CC34AA" w:rsidP="00CC34AA">
      <w:pPr>
        <w:pStyle w:val="BodyText"/>
      </w:pPr>
      <w:r w:rsidRPr="001106DD">
        <w:t>In doing the above work, the person must:</w:t>
      </w:r>
    </w:p>
    <w:p w:rsidR="00000000" w:rsidRPr="001106DD" w:rsidRDefault="00CC34AA" w:rsidP="001106DD">
      <w:pPr>
        <w:pStyle w:val="ListBullet"/>
      </w:pPr>
      <w:r w:rsidRPr="001106DD">
        <w:t>interpret design specifications, includ</w:t>
      </w:r>
      <w:r w:rsidRPr="001106DD">
        <w:t>ing dimensions, symbols, abbreviations and key features of signs</w:t>
      </w:r>
    </w:p>
    <w:p w:rsidR="00000000" w:rsidRPr="001106DD" w:rsidRDefault="00CC34AA" w:rsidP="001106DD">
      <w:pPr>
        <w:pStyle w:val="ListBullet"/>
      </w:pPr>
      <w:r w:rsidRPr="001106DD">
        <w:t>identify and correctly apply designed material to prepared substrate</w:t>
      </w:r>
    </w:p>
    <w:p w:rsidR="00000000" w:rsidRPr="001106DD" w:rsidRDefault="00CC34AA" w:rsidP="001106DD">
      <w:pPr>
        <w:pStyle w:val="ListBullet"/>
      </w:pPr>
      <w:r w:rsidRPr="001106DD">
        <w:t>identify and record colours used</w:t>
      </w:r>
    </w:p>
    <w:p w:rsidR="00000000" w:rsidRPr="001106DD" w:rsidRDefault="00CC34AA" w:rsidP="001106DD">
      <w:pPr>
        <w:pStyle w:val="ListBullet"/>
      </w:pPr>
      <w:r w:rsidRPr="001106DD">
        <w:t>apply techniques to produce colour fully to boundary limits</w:t>
      </w:r>
    </w:p>
    <w:p w:rsidR="00000000" w:rsidRPr="001106DD" w:rsidRDefault="00CC34AA" w:rsidP="001106DD">
      <w:pPr>
        <w:pStyle w:val="ListBullet"/>
      </w:pPr>
      <w:r w:rsidRPr="001106DD">
        <w:t>reproduce pictorial to size r</w:t>
      </w:r>
      <w:r w:rsidRPr="001106DD">
        <w:t>equirements</w:t>
      </w:r>
    </w:p>
    <w:p w:rsidR="00000000" w:rsidRPr="001106DD" w:rsidRDefault="00CC34AA" w:rsidP="001106DD">
      <w:pPr>
        <w:pStyle w:val="ListBullet"/>
      </w:pPr>
      <w:r w:rsidRPr="001106DD">
        <w:t>check the final work for accuracy and completeness, and identify and rectify any defects.</w:t>
      </w:r>
    </w:p>
    <w:p w:rsidR="00000000" w:rsidRPr="001106DD" w:rsidRDefault="00CC34AA" w:rsidP="001106DD">
      <w:pPr>
        <w:pStyle w:val="AllowPageBreak"/>
      </w:pPr>
    </w:p>
    <w:p w:rsidR="00000000" w:rsidRPr="001106DD" w:rsidRDefault="00CC34AA" w:rsidP="001106DD">
      <w:pPr>
        <w:pStyle w:val="Heading1"/>
      </w:pPr>
      <w:bookmarkStart w:id="3" w:name="O_832193"/>
      <w:bookmarkEnd w:id="3"/>
      <w:r w:rsidRPr="001106DD">
        <w:t>Knowledge Evidence</w:t>
      </w:r>
    </w:p>
    <w:p w:rsidR="00000000" w:rsidRPr="001106DD" w:rsidRDefault="00CC34AA" w:rsidP="00CC34AA">
      <w:pPr>
        <w:pStyle w:val="BodyText"/>
      </w:pPr>
      <w:r w:rsidRPr="001106DD">
        <w:t>A person demonstrating competency in this unit must demonstrate knowledge of:</w:t>
      </w:r>
    </w:p>
    <w:p w:rsidR="00000000" w:rsidRPr="001106DD" w:rsidRDefault="00CC34AA" w:rsidP="001106DD">
      <w:pPr>
        <w:pStyle w:val="ListBullet"/>
      </w:pPr>
      <w:r w:rsidRPr="001106DD">
        <w:t>application of the following typography</w:t>
      </w:r>
      <w:r w:rsidRPr="001106DD">
        <w:t xml:space="preserve"> elements in sign-writing and hand rendering pictorials, including:</w:t>
      </w:r>
    </w:p>
    <w:p w:rsidR="00000000" w:rsidRPr="001106DD" w:rsidRDefault="00CC34AA" w:rsidP="001106DD">
      <w:pPr>
        <w:pStyle w:val="ListBullet2"/>
      </w:pPr>
      <w:r w:rsidRPr="001106DD">
        <w:t>font types</w:t>
      </w:r>
    </w:p>
    <w:p w:rsidR="00000000" w:rsidRPr="001106DD" w:rsidRDefault="00CC34AA" w:rsidP="001106DD">
      <w:pPr>
        <w:pStyle w:val="ListBullet2"/>
      </w:pPr>
      <w:r w:rsidRPr="001106DD">
        <w:t>principles of layout</w:t>
      </w:r>
    </w:p>
    <w:p w:rsidR="00000000" w:rsidRPr="001106DD" w:rsidRDefault="00CC34AA" w:rsidP="001106DD">
      <w:pPr>
        <w:pStyle w:val="ListBullet2"/>
      </w:pPr>
      <w:r w:rsidRPr="001106DD">
        <w:t>size and spacing</w:t>
      </w:r>
    </w:p>
    <w:p w:rsidR="00000000" w:rsidRPr="001106DD" w:rsidRDefault="00CC34AA" w:rsidP="001106DD">
      <w:pPr>
        <w:pStyle w:val="ListBullet"/>
      </w:pPr>
      <w:r w:rsidRPr="001106DD">
        <w:t>Australian standards relevant to the use of paint:</w:t>
      </w:r>
    </w:p>
    <w:p w:rsidR="00000000" w:rsidRPr="001106DD" w:rsidRDefault="00CC34AA" w:rsidP="001106DD">
      <w:pPr>
        <w:pStyle w:val="ListBullet2"/>
      </w:pPr>
      <w:r w:rsidRPr="001106DD">
        <w:t>AS 2311 Guide to the painting of buildings</w:t>
      </w:r>
    </w:p>
    <w:p w:rsidR="00000000" w:rsidRPr="001106DD" w:rsidRDefault="00CC34AA" w:rsidP="001106DD">
      <w:pPr>
        <w:pStyle w:val="ListBullet2"/>
      </w:pPr>
      <w:r w:rsidRPr="001106DD">
        <w:t>AS 2700 Colour standards for general purposes</w:t>
      </w:r>
    </w:p>
    <w:p w:rsidR="00000000" w:rsidRPr="001106DD" w:rsidRDefault="00CC34AA" w:rsidP="001106DD">
      <w:pPr>
        <w:pStyle w:val="ListBullet"/>
      </w:pPr>
      <w:r w:rsidRPr="001106DD">
        <w:t>paint application techniques relating to hand rendering pictorials</w:t>
      </w:r>
    </w:p>
    <w:p w:rsidR="00000000" w:rsidRPr="001106DD" w:rsidRDefault="00CC34AA" w:rsidP="001106DD">
      <w:pPr>
        <w:pStyle w:val="ListBullet"/>
      </w:pPr>
      <w:r w:rsidRPr="001106DD">
        <w:t>theory and processes used in colour selection for sign-writing</w:t>
      </w:r>
    </w:p>
    <w:p w:rsidR="00000000" w:rsidRPr="001106DD" w:rsidRDefault="00CC34AA" w:rsidP="001106DD">
      <w:pPr>
        <w:pStyle w:val="ListBullet"/>
      </w:pPr>
      <w:r w:rsidRPr="001106DD">
        <w:t xml:space="preserve">methods for identifying dimensions, symbols, abbreviations and key features of </w:t>
      </w:r>
      <w:r w:rsidRPr="001106DD">
        <w:t>signs from pictorial designs and drawings</w:t>
      </w:r>
    </w:p>
    <w:p w:rsidR="00000000" w:rsidRPr="001106DD" w:rsidRDefault="00CC34AA" w:rsidP="001106DD">
      <w:pPr>
        <w:pStyle w:val="ListBullet"/>
      </w:pPr>
      <w:r w:rsidRPr="001106DD">
        <w:t>compatibility of surfaces with paints, solvents and mediums</w:t>
      </w:r>
    </w:p>
    <w:p w:rsidR="00000000" w:rsidRPr="001106DD" w:rsidRDefault="00CC34AA" w:rsidP="001106DD">
      <w:pPr>
        <w:pStyle w:val="ListBullet"/>
      </w:pPr>
      <w:r w:rsidRPr="001106DD">
        <w:t>purpose and application of the following when working with paint and other chemicals used to produce hand-rendered pictorials:</w:t>
      </w:r>
    </w:p>
    <w:p w:rsidR="00000000" w:rsidRPr="001106DD" w:rsidRDefault="00CC34AA" w:rsidP="001106DD">
      <w:pPr>
        <w:pStyle w:val="ListBullet2"/>
      </w:pPr>
      <w:r w:rsidRPr="001106DD">
        <w:t>safety data sheets (SDS)</w:t>
      </w:r>
    </w:p>
    <w:p w:rsidR="00000000" w:rsidRPr="001106DD" w:rsidRDefault="00CC34AA" w:rsidP="001106DD">
      <w:pPr>
        <w:pStyle w:val="ListBullet2"/>
      </w:pPr>
      <w:r w:rsidRPr="001106DD">
        <w:t>s</w:t>
      </w:r>
      <w:r w:rsidRPr="001106DD">
        <w:t>afe work method statements (SWMS)</w:t>
      </w:r>
    </w:p>
    <w:p w:rsidR="00000000" w:rsidRPr="001106DD" w:rsidRDefault="00CC34AA" w:rsidP="001106DD">
      <w:pPr>
        <w:pStyle w:val="ListBullet"/>
      </w:pPr>
      <w:r w:rsidRPr="001106DD">
        <w:t>processes and techniques to measure and set out relevant to layout of signs</w:t>
      </w:r>
    </w:p>
    <w:p w:rsidR="00000000" w:rsidRPr="001106DD" w:rsidRDefault="00CC34AA" w:rsidP="001106DD">
      <w:pPr>
        <w:pStyle w:val="ListBullet"/>
      </w:pPr>
      <w:r w:rsidRPr="001106DD">
        <w:t>statutory and regulatory authority requirements, particularly those relating to:</w:t>
      </w:r>
    </w:p>
    <w:p w:rsidR="00000000" w:rsidRPr="001106DD" w:rsidRDefault="00CC34AA" w:rsidP="001106DD">
      <w:pPr>
        <w:pStyle w:val="ListBullet2"/>
      </w:pPr>
      <w:r w:rsidRPr="001106DD">
        <w:t>removal of waste products</w:t>
      </w:r>
    </w:p>
    <w:p w:rsidR="00000000" w:rsidRPr="001106DD" w:rsidRDefault="00CC34AA" w:rsidP="001106DD">
      <w:pPr>
        <w:pStyle w:val="ListBullet2"/>
      </w:pPr>
      <w:r w:rsidRPr="001106DD">
        <w:t>storage of chemicals and materials</w:t>
      </w:r>
    </w:p>
    <w:p w:rsidR="00000000" w:rsidRPr="001106DD" w:rsidRDefault="00CC34AA" w:rsidP="001106DD">
      <w:pPr>
        <w:pStyle w:val="ListBullet"/>
      </w:pPr>
      <w:r w:rsidRPr="001106DD">
        <w:t>terminology and use of abbreviations in the signs and graphics industry.</w:t>
      </w:r>
    </w:p>
    <w:p w:rsidR="00000000" w:rsidRPr="001106DD" w:rsidRDefault="00CC34AA" w:rsidP="001106DD">
      <w:pPr>
        <w:pStyle w:val="AllowPageBreak"/>
      </w:pPr>
    </w:p>
    <w:p w:rsidR="00000000" w:rsidRPr="001106DD" w:rsidRDefault="00CC34AA" w:rsidP="001106DD">
      <w:pPr>
        <w:pStyle w:val="Heading1"/>
      </w:pPr>
      <w:bookmarkStart w:id="4" w:name="O_832192"/>
      <w:bookmarkEnd w:id="4"/>
      <w:r w:rsidRPr="001106DD">
        <w:t>Assessment Conditions</w:t>
      </w:r>
    </w:p>
    <w:p w:rsidR="00000000" w:rsidRPr="001106DD" w:rsidRDefault="00CC34AA" w:rsidP="00CC34AA">
      <w:pPr>
        <w:pStyle w:val="BodyText"/>
      </w:pPr>
      <w:r w:rsidRPr="001106DD">
        <w:t>Suitable assessment of performance requires:</w:t>
      </w:r>
    </w:p>
    <w:p w:rsidR="00000000" w:rsidRPr="001106DD" w:rsidRDefault="00CC34AA" w:rsidP="001106DD">
      <w:pPr>
        <w:pStyle w:val="ListBullet"/>
      </w:pPr>
      <w:r w:rsidRPr="001106DD">
        <w:t>equipment:</w:t>
      </w:r>
    </w:p>
    <w:p w:rsidR="00000000" w:rsidRPr="001106DD" w:rsidRDefault="00CC34AA" w:rsidP="001106DD">
      <w:pPr>
        <w:pStyle w:val="ListBullet2"/>
      </w:pPr>
      <w:r w:rsidRPr="001106DD">
        <w:t>artist brushes</w:t>
      </w:r>
    </w:p>
    <w:p w:rsidR="00000000" w:rsidRPr="001106DD" w:rsidRDefault="00CC34AA" w:rsidP="001106DD">
      <w:pPr>
        <w:pStyle w:val="ListBullet2"/>
      </w:pPr>
      <w:r w:rsidRPr="001106DD">
        <w:lastRenderedPageBreak/>
        <w:t>easel</w:t>
      </w:r>
    </w:p>
    <w:p w:rsidR="00000000" w:rsidRPr="001106DD" w:rsidRDefault="00CC34AA" w:rsidP="001106DD">
      <w:pPr>
        <w:pStyle w:val="ListBullet2"/>
      </w:pPr>
      <w:r w:rsidRPr="001106DD">
        <w:t>mediums</w:t>
      </w:r>
    </w:p>
    <w:p w:rsidR="00000000" w:rsidRPr="001106DD" w:rsidRDefault="00CC34AA" w:rsidP="001106DD">
      <w:pPr>
        <w:pStyle w:val="ListBullet2"/>
      </w:pPr>
      <w:r w:rsidRPr="001106DD">
        <w:t>sketch pad</w:t>
      </w:r>
    </w:p>
    <w:p w:rsidR="00000000" w:rsidRPr="001106DD" w:rsidRDefault="00CC34AA" w:rsidP="001106DD">
      <w:pPr>
        <w:pStyle w:val="ListBullet"/>
      </w:pPr>
      <w:r w:rsidRPr="001106DD">
        <w:t>specifications:</w:t>
      </w:r>
    </w:p>
    <w:p w:rsidR="00000000" w:rsidRPr="001106DD" w:rsidRDefault="00CC34AA" w:rsidP="001106DD">
      <w:pPr>
        <w:pStyle w:val="ListBullet2"/>
      </w:pPr>
      <w:r w:rsidRPr="001106DD">
        <w:t>AS 2311 Guide to the paintin</w:t>
      </w:r>
      <w:r w:rsidRPr="001106DD">
        <w:t>g of buildings</w:t>
      </w:r>
    </w:p>
    <w:p w:rsidR="00000000" w:rsidRPr="001106DD" w:rsidRDefault="00CC34AA" w:rsidP="001106DD">
      <w:pPr>
        <w:pStyle w:val="ListBullet2"/>
      </w:pPr>
      <w:r w:rsidRPr="001106DD">
        <w:t>AS 2700 Colour standards for general purposes</w:t>
      </w:r>
    </w:p>
    <w:p w:rsidR="00000000" w:rsidRPr="001106DD" w:rsidRDefault="00CC34AA" w:rsidP="001106DD">
      <w:pPr>
        <w:pStyle w:val="ListBullet"/>
      </w:pPr>
      <w:r w:rsidRPr="001106DD">
        <w:t>materials:</w:t>
      </w:r>
    </w:p>
    <w:p w:rsidR="00000000" w:rsidRPr="001106DD" w:rsidRDefault="00CC34AA" w:rsidP="001106DD">
      <w:pPr>
        <w:pStyle w:val="ListBullet2"/>
      </w:pPr>
      <w:r w:rsidRPr="001106DD">
        <w:t>charcoal</w:t>
      </w:r>
    </w:p>
    <w:p w:rsidR="00000000" w:rsidRPr="001106DD" w:rsidRDefault="00CC34AA" w:rsidP="001106DD">
      <w:pPr>
        <w:pStyle w:val="ListBullet2"/>
      </w:pPr>
      <w:r w:rsidRPr="001106DD">
        <w:t>oil and acrylic paints</w:t>
      </w:r>
    </w:p>
    <w:p w:rsidR="00000000" w:rsidRPr="001106DD" w:rsidRDefault="00CC34AA" w:rsidP="001106DD">
      <w:pPr>
        <w:pStyle w:val="ListBullet2"/>
      </w:pPr>
      <w:r w:rsidRPr="001106DD">
        <w:t>pencils</w:t>
      </w:r>
    </w:p>
    <w:p w:rsidR="00000000" w:rsidRPr="001106DD" w:rsidRDefault="00CC34AA" w:rsidP="001106DD">
      <w:pPr>
        <w:pStyle w:val="ListBullet"/>
      </w:pPr>
      <w:r w:rsidRPr="001106DD">
        <w:t>timeframe:</w:t>
      </w:r>
    </w:p>
    <w:p w:rsidR="00000000" w:rsidRPr="001106DD" w:rsidRDefault="00CC34AA" w:rsidP="001106DD">
      <w:pPr>
        <w:pStyle w:val="ListBullet2"/>
      </w:pPr>
      <w:r w:rsidRPr="001106DD">
        <w:t>according to job requirements.</w:t>
      </w:r>
    </w:p>
    <w:p w:rsidR="00000000" w:rsidRPr="001106DD" w:rsidRDefault="00CC34AA" w:rsidP="001106DD">
      <w:pPr>
        <w:pStyle w:val="BodyText"/>
      </w:pPr>
    </w:p>
    <w:p w:rsidR="00000000" w:rsidRPr="001106DD" w:rsidRDefault="00CC34AA" w:rsidP="00CC34AA">
      <w:pPr>
        <w:pStyle w:val="Heading3"/>
      </w:pPr>
      <w:r w:rsidRPr="001106DD">
        <w:rPr>
          <w:rStyle w:val="SpecialBold"/>
        </w:rPr>
        <w:t>Assessor requirements</w:t>
      </w:r>
    </w:p>
    <w:p w:rsidR="00000000" w:rsidRPr="001106DD" w:rsidRDefault="00CC34AA" w:rsidP="00CC34AA">
      <w:pPr>
        <w:pStyle w:val="BodyText"/>
      </w:pPr>
      <w:r w:rsidRPr="001106DD">
        <w:t xml:space="preserve">As a minimum, assessors must satisfy the assessor requirements in the Standards for Registered Training Organisations (RTOs) current at the time of assessment. </w:t>
      </w:r>
    </w:p>
    <w:p w:rsidR="00000000" w:rsidRPr="001106DD" w:rsidRDefault="00CC34AA" w:rsidP="001106DD">
      <w:pPr>
        <w:pStyle w:val="Heading1"/>
      </w:pPr>
      <w:bookmarkStart w:id="5" w:name="O_832190"/>
      <w:bookmarkEnd w:id="5"/>
      <w:r w:rsidRPr="001106DD">
        <w:t>Links</w:t>
      </w:r>
    </w:p>
    <w:p w:rsidR="00000000" w:rsidRPr="001106DD" w:rsidRDefault="00CC34AA" w:rsidP="00CC34AA">
      <w:pPr>
        <w:pStyle w:val="BodyText"/>
      </w:pPr>
      <w:r w:rsidRPr="001106DD">
        <w:t xml:space="preserve">Companion Volume implementation guides are found in VETNet - </w:t>
      </w:r>
      <w:hyperlink r:id="rId13" w:history="1">
        <w:r w:rsidRPr="00460A03">
          <w:rPr>
            <w:rStyle w:val="Hyperlink"/>
          </w:rPr>
          <w:t>https://vetnet.gov.au/Pages/TrainingDocs.aspx?q=7e15fa6a-68b8-4097-b099-030a5569b1ad</w:t>
        </w:r>
      </w:hyperlink>
    </w:p>
    <w:p w:rsidR="00000000" w:rsidRPr="001106DD" w:rsidRDefault="00CC34AA" w:rsidP="001106DD"/>
    <w:sectPr w:rsidR="00000000" w:rsidRPr="001106DD" w:rsidSect="001106D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6DD" w:rsidRDefault="001106DD" w:rsidP="001106DD">
      <w:r>
        <w:separator/>
      </w:r>
    </w:p>
  </w:endnote>
  <w:endnote w:type="continuationSeparator" w:id="0">
    <w:p w:rsidR="001106DD" w:rsidRDefault="001106DD" w:rsidP="00110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6DD" w:rsidRDefault="001106D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6DD" w:rsidRPr="00CC34AA" w:rsidRDefault="001106DD" w:rsidP="00CC34A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6DD" w:rsidRDefault="001106D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4AA" w:rsidRDefault="00CC34AA" w:rsidP="001106D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C34AA" w:rsidRDefault="00CC34AA" w:rsidP="001106D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CC34AA" w:rsidRDefault="00CC34AA" w:rsidP="001106D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6DD" w:rsidRDefault="001106DD" w:rsidP="001106DD">
      <w:r>
        <w:separator/>
      </w:r>
    </w:p>
  </w:footnote>
  <w:footnote w:type="continuationSeparator" w:id="0">
    <w:p w:rsidR="001106DD" w:rsidRDefault="001106DD" w:rsidP="00110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6DD" w:rsidRDefault="001106D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4AA" w:rsidRDefault="00CC34A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731A666" wp14:editId="36C963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06DD" w:rsidRPr="00CC34AA" w:rsidRDefault="001106DD" w:rsidP="00CC34A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6DD" w:rsidRDefault="001106D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4AA" w:rsidRPr="002D2AF8" w:rsidRDefault="00CC34AA" w:rsidP="001106DD">
    <w:pPr>
      <w:pStyle w:val="Header"/>
      <w:framePr w:wrap="around"/>
    </w:pPr>
    <w:fldSimple w:instr=" TITLE   \* MERGEFORMAT ">
      <w:r>
        <w:t>Assessment Requirements for CPCCSG3010 Hand render pictorials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2022</w:t>
    </w:r>
    <w:r>
      <w:fldChar w:fldCharType="end"/>
    </w:r>
  </w:p>
  <w:p w:rsidR="00CC34AA" w:rsidRDefault="00CC34AA" w:rsidP="001106D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9D05A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84ECF0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A3C3A6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106DD"/>
    <w:rsid w:val="001106DD"/>
    <w:rsid w:val="00CC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6D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106D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106D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106D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106D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106D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106D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106D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106D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106D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106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106DD"/>
  </w:style>
  <w:style w:type="character" w:customStyle="1" w:styleId="Heading1Char">
    <w:name w:val="Heading 1 Char"/>
    <w:basedOn w:val="DefaultParagraphFont"/>
    <w:link w:val="Heading1"/>
    <w:rsid w:val="001106D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106D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106D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106D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106DD"/>
    <w:rPr>
      <w:b/>
      <w:spacing w:val="0"/>
    </w:rPr>
  </w:style>
  <w:style w:type="paragraph" w:styleId="ListBullet2">
    <w:name w:val="List Bullet 2"/>
    <w:basedOn w:val="List2"/>
    <w:rsid w:val="001106D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1106D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106D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106D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106D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106D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106D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106D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106D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106D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106D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106D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106D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106D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106D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106D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106D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106D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106D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106D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106D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106D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106D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106D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106D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106D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106D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106D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106D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106D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106D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106D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106D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106D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106D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106DD"/>
    <w:rPr>
      <w:i/>
    </w:rPr>
  </w:style>
  <w:style w:type="paragraph" w:styleId="Caption">
    <w:name w:val="caption"/>
    <w:basedOn w:val="BodyText"/>
    <w:next w:val="Normal"/>
    <w:qFormat/>
    <w:rsid w:val="001106D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106D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106D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106DD"/>
  </w:style>
  <w:style w:type="paragraph" w:styleId="TableofFigures">
    <w:name w:val="table of figures"/>
    <w:basedOn w:val="Normal"/>
    <w:next w:val="Normal"/>
    <w:semiHidden/>
    <w:rsid w:val="001106D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106D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106DD"/>
    <w:rPr>
      <w:rFonts w:ascii="Wingdings" w:hAnsi="Wingdings"/>
    </w:rPr>
  </w:style>
  <w:style w:type="paragraph" w:customStyle="1" w:styleId="TableHeading">
    <w:name w:val="Table Heading"/>
    <w:basedOn w:val="HeadingBase"/>
    <w:rsid w:val="001106D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106DD"/>
    <w:rPr>
      <w:color w:val="0033CC"/>
      <w:u w:val="none"/>
    </w:rPr>
  </w:style>
  <w:style w:type="paragraph" w:customStyle="1" w:styleId="BodyTextRight">
    <w:name w:val="Body Text Right"/>
    <w:basedOn w:val="BodyText"/>
    <w:rsid w:val="001106D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106D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106D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106D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106D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106D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106DD"/>
    <w:rPr>
      <w:sz w:val="32"/>
    </w:rPr>
  </w:style>
  <w:style w:type="paragraph" w:customStyle="1" w:styleId="HeadingProcedure">
    <w:name w:val="Heading Procedure"/>
    <w:basedOn w:val="HeadingBase"/>
    <w:next w:val="Normal"/>
    <w:rsid w:val="001106D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106DD"/>
    <w:pPr>
      <w:spacing w:before="60" w:after="60"/>
    </w:pPr>
  </w:style>
  <w:style w:type="paragraph" w:styleId="ListContinue">
    <w:name w:val="List Continue"/>
    <w:basedOn w:val="List"/>
    <w:rsid w:val="001106DD"/>
    <w:pPr>
      <w:ind w:firstLine="0"/>
    </w:pPr>
  </w:style>
  <w:style w:type="paragraph" w:customStyle="1" w:styleId="ListNote">
    <w:name w:val="List Note"/>
    <w:basedOn w:val="List"/>
    <w:rsid w:val="001106D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106D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106D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106DD"/>
    <w:rPr>
      <w:rFonts w:ascii="Courier New" w:hAnsi="Courier New"/>
    </w:rPr>
  </w:style>
  <w:style w:type="paragraph" w:customStyle="1" w:styleId="NoteBullet">
    <w:name w:val="Note Bullet"/>
    <w:basedOn w:val="Note"/>
    <w:rsid w:val="001106D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106D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106D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106D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106D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106D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106D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106DD"/>
    <w:rPr>
      <w:b/>
      <w:smallCaps/>
    </w:rPr>
  </w:style>
  <w:style w:type="paragraph" w:customStyle="1" w:styleId="TableListNumber">
    <w:name w:val="Table List Number"/>
    <w:basedOn w:val="ListNumber"/>
    <w:rsid w:val="001106D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106D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106DD"/>
    <w:pPr>
      <w:numPr>
        <w:numId w:val="9"/>
      </w:numPr>
    </w:pPr>
  </w:style>
  <w:style w:type="paragraph" w:customStyle="1" w:styleId="ListAlpha2">
    <w:name w:val="List Alpha 2"/>
    <w:basedOn w:val="List2"/>
    <w:rsid w:val="001106DD"/>
    <w:pPr>
      <w:numPr>
        <w:numId w:val="8"/>
      </w:numPr>
    </w:pPr>
  </w:style>
  <w:style w:type="paragraph" w:styleId="List2">
    <w:name w:val="List 2"/>
    <w:basedOn w:val="BodyText"/>
    <w:rsid w:val="001106D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106D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106D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106D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106D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106D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106DD"/>
    <w:pPr>
      <w:numPr>
        <w:numId w:val="4"/>
      </w:numPr>
    </w:pPr>
  </w:style>
  <w:style w:type="paragraph" w:styleId="ListContinue2">
    <w:name w:val="List Continue 2"/>
    <w:basedOn w:val="List2"/>
    <w:rsid w:val="001106DD"/>
    <w:pPr>
      <w:ind w:firstLine="0"/>
    </w:pPr>
  </w:style>
  <w:style w:type="paragraph" w:styleId="ListContinue3">
    <w:name w:val="List Continue 3"/>
    <w:basedOn w:val="List3"/>
    <w:rsid w:val="001106DD"/>
    <w:pPr>
      <w:ind w:left="1021" w:firstLine="0"/>
    </w:pPr>
  </w:style>
  <w:style w:type="paragraph" w:styleId="ListContinue4">
    <w:name w:val="List Continue 4"/>
    <w:basedOn w:val="List4"/>
    <w:rsid w:val="001106DD"/>
    <w:pPr>
      <w:ind w:firstLine="0"/>
    </w:pPr>
  </w:style>
  <w:style w:type="paragraph" w:styleId="ListContinue5">
    <w:name w:val="List Continue 5"/>
    <w:basedOn w:val="List5"/>
    <w:rsid w:val="001106DD"/>
    <w:pPr>
      <w:ind w:firstLine="0"/>
    </w:pPr>
  </w:style>
  <w:style w:type="paragraph" w:styleId="ListNumber3">
    <w:name w:val="List Number 3"/>
    <w:basedOn w:val="List3"/>
    <w:rsid w:val="001106DD"/>
    <w:pPr>
      <w:numPr>
        <w:numId w:val="5"/>
      </w:numPr>
    </w:pPr>
  </w:style>
  <w:style w:type="paragraph" w:styleId="ListNumber4">
    <w:name w:val="List Number 4"/>
    <w:basedOn w:val="List4"/>
    <w:rsid w:val="001106DD"/>
    <w:pPr>
      <w:numPr>
        <w:numId w:val="6"/>
      </w:numPr>
    </w:pPr>
  </w:style>
  <w:style w:type="paragraph" w:styleId="ListNumber5">
    <w:name w:val="List Number 5"/>
    <w:basedOn w:val="List5"/>
    <w:rsid w:val="001106DD"/>
    <w:pPr>
      <w:numPr>
        <w:numId w:val="7"/>
      </w:numPr>
    </w:pPr>
  </w:style>
  <w:style w:type="paragraph" w:styleId="BlockText">
    <w:name w:val="Block Text"/>
    <w:basedOn w:val="Normal"/>
    <w:rsid w:val="001106D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106D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106DD"/>
    <w:rPr>
      <w:sz w:val="16"/>
      <w:vertAlign w:val="superscript"/>
    </w:rPr>
  </w:style>
  <w:style w:type="character" w:customStyle="1" w:styleId="Symbols">
    <w:name w:val="Symbols"/>
    <w:basedOn w:val="DefaultParagraphFont"/>
    <w:rsid w:val="001106DD"/>
    <w:rPr>
      <w:rFonts w:ascii="Symbol" w:hAnsi="Symbol"/>
    </w:rPr>
  </w:style>
  <w:style w:type="character" w:customStyle="1" w:styleId="MenuOptions">
    <w:name w:val="Menu Options"/>
    <w:basedOn w:val="DefaultParagraphFont"/>
    <w:rsid w:val="001106D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106DD"/>
    <w:rPr>
      <w:b/>
    </w:rPr>
  </w:style>
  <w:style w:type="character" w:customStyle="1" w:styleId="Underlined">
    <w:name w:val="Underlined"/>
    <w:basedOn w:val="DefaultParagraphFont"/>
    <w:rsid w:val="001106DD"/>
    <w:rPr>
      <w:u w:val="single"/>
    </w:rPr>
  </w:style>
  <w:style w:type="paragraph" w:customStyle="1" w:styleId="TableBodyTextRight">
    <w:name w:val="Table Body Text Right"/>
    <w:basedOn w:val="TableBodyText"/>
    <w:rsid w:val="001106D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106DD"/>
    <w:rPr>
      <w:sz w:val="18"/>
    </w:rPr>
  </w:style>
  <w:style w:type="paragraph" w:customStyle="1" w:styleId="BodySmallRight">
    <w:name w:val="Body Small Right"/>
    <w:basedOn w:val="BodyTextRight"/>
    <w:rsid w:val="001106DD"/>
    <w:rPr>
      <w:sz w:val="18"/>
      <w:szCs w:val="18"/>
    </w:rPr>
  </w:style>
  <w:style w:type="paragraph" w:customStyle="1" w:styleId="MarginEdition">
    <w:name w:val="Margin Edition"/>
    <w:basedOn w:val="MarginNote"/>
    <w:rsid w:val="001106D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106DD"/>
    <w:rPr>
      <w:sz w:val="2"/>
      <w:szCs w:val="2"/>
    </w:rPr>
  </w:style>
  <w:style w:type="character" w:customStyle="1" w:styleId="Small">
    <w:name w:val="Small"/>
    <w:basedOn w:val="DefaultParagraphFont"/>
    <w:rsid w:val="001106DD"/>
    <w:rPr>
      <w:sz w:val="16"/>
    </w:rPr>
  </w:style>
  <w:style w:type="paragraph" w:customStyle="1" w:styleId="WideTable">
    <w:name w:val="Wide Table"/>
    <w:basedOn w:val="Normal"/>
    <w:rsid w:val="001106D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106DD"/>
  </w:style>
  <w:style w:type="paragraph" w:styleId="Quote">
    <w:name w:val="Quote"/>
    <w:basedOn w:val="Heading1"/>
    <w:link w:val="QuoteChar"/>
    <w:qFormat/>
    <w:rsid w:val="001106D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106D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106DD"/>
    <w:pPr>
      <w:pageBreakBefore/>
    </w:pPr>
  </w:style>
  <w:style w:type="paragraph" w:customStyle="1" w:styleId="Border">
    <w:name w:val="Border"/>
    <w:basedOn w:val="Normal"/>
    <w:qFormat/>
    <w:rsid w:val="001106D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106D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6D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6D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106D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106D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106D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106D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106D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106DD"/>
    <w:rPr>
      <w:u w:val="single"/>
    </w:rPr>
  </w:style>
  <w:style w:type="character" w:customStyle="1" w:styleId="BoldandItalics">
    <w:name w:val="Bold and Italics"/>
    <w:qFormat/>
    <w:rsid w:val="001106DD"/>
    <w:rPr>
      <w:b/>
      <w:i/>
      <w:u w:val="none"/>
    </w:rPr>
  </w:style>
  <w:style w:type="paragraph" w:styleId="BalloonText">
    <w:name w:val="Balloon Text"/>
    <w:basedOn w:val="Normal"/>
    <w:link w:val="BalloonTextChar"/>
    <w:rsid w:val="00110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06D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106D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106D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106D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106D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106DD"/>
    <w:pPr>
      <w:spacing w:before="0" w:after="0"/>
    </w:pPr>
  </w:style>
  <w:style w:type="paragraph" w:customStyle="1" w:styleId="BodyTextBold">
    <w:name w:val="Body Text Bold"/>
    <w:basedOn w:val="BodyText"/>
    <w:qFormat/>
    <w:rsid w:val="001106DD"/>
    <w:rPr>
      <w:b/>
    </w:rPr>
  </w:style>
  <w:style w:type="character" w:styleId="Hyperlink">
    <w:name w:val="Hyperlink"/>
    <w:basedOn w:val="DefaultParagraphFont"/>
    <w:uiPriority w:val="99"/>
    <w:unhideWhenUsed/>
    <w:rsid w:val="00CC34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3221</Characters>
  <Application>Microsoft Office Word</Application>
  <DocSecurity>0</DocSecurity>
  <Lines>103</Lines>
  <Paragraphs>84</Paragraphs>
  <ScaleCrop>false</ScaleCrop>
  <Company>Author-it Software Corporation Ltd.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CPCCSG3010 Hand render pictorials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2022-12-08T08:00:00Z</dcterms:created>
  <dcterms:modified xsi:type="dcterms:W3CDTF">2022-12-08T08:00:00Z</dcterms:modified>
</cp:coreProperties>
</file>