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997" w:rsidRDefault="00724997" w:rsidP="00724997">
      <w:pPr>
        <w:pStyle w:val="Title"/>
      </w:pPr>
      <w:fldSimple w:instr=" TITLE   \* MERGEFORMAT ">
        <w:r>
          <w:t>CPCCCA3012 Frame and fit wet area fixtures</w:t>
        </w:r>
      </w:fldSimple>
    </w:p>
    <w:p w:rsidR="00724997" w:rsidRDefault="00724997" w:rsidP="00724997">
      <w:pPr>
        <w:pStyle w:val="Version"/>
        <w:sectPr w:rsidR="00724997" w:rsidSect="00DC7A3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DC7A32" w:rsidRDefault="00724997" w:rsidP="00DC7A32">
      <w:pPr>
        <w:pStyle w:val="SuperHeading"/>
      </w:pPr>
      <w:r w:rsidRPr="00DC7A32">
        <w:lastRenderedPageBreak/>
        <w:t>CPCCCA3012 Frame and fit wet area fixtures</w:t>
      </w:r>
    </w:p>
    <w:p w:rsidR="00000000" w:rsidRPr="00DC7A32" w:rsidRDefault="00724997" w:rsidP="00DC7A32">
      <w:pPr>
        <w:pStyle w:val="Heading1"/>
      </w:pPr>
      <w:bookmarkStart w:id="1" w:name="O_1045978"/>
      <w:bookmarkEnd w:id="1"/>
      <w:r w:rsidRPr="00DC7A32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28"/>
        <w:gridCol w:w="7944"/>
      </w:tblGrid>
      <w:tr w:rsidR="00000000" w:rsidRPr="00DC7A32" w:rsidTr="00DC7A32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Release 1</w:t>
            </w:r>
          </w:p>
        </w:tc>
        <w:tc>
          <w:tcPr>
            <w:tcW w:w="79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C7A32" w:rsidRDefault="00724997" w:rsidP="00DC7A32">
            <w:pPr>
              <w:pStyle w:val="BodyText"/>
            </w:pPr>
            <w:r w:rsidRPr="00DC7A32">
              <w:t>This version first released with CPC Construction, Plumbing and Services Training Package Release 5.0.</w:t>
            </w:r>
          </w:p>
          <w:p w:rsidR="00000000" w:rsidRPr="00DC7A32" w:rsidRDefault="00724997" w:rsidP="00DC7A32">
            <w:pPr>
              <w:pStyle w:val="BodyText"/>
            </w:pPr>
            <w:r w:rsidRPr="00DC7A32">
              <w:t>Supersedes and is equivalent to CPCCCA3012A Frame and fit wet area fixtures.  Updated to meet the Standards for Training P</w:t>
            </w:r>
            <w:r w:rsidRPr="00DC7A32">
              <w:t>ackages 2012.</w:t>
            </w:r>
          </w:p>
        </w:tc>
      </w:tr>
    </w:tbl>
    <w:p w:rsidR="00000000" w:rsidRPr="00DC7A32" w:rsidRDefault="00724997" w:rsidP="00DC7A32">
      <w:pPr>
        <w:pStyle w:val="BodyText"/>
      </w:pPr>
    </w:p>
    <w:p w:rsidR="00000000" w:rsidRPr="00DC7A32" w:rsidRDefault="00724997" w:rsidP="00DC7A32">
      <w:pPr>
        <w:pStyle w:val="AllowPageBreak"/>
      </w:pPr>
    </w:p>
    <w:p w:rsidR="00000000" w:rsidRPr="00DC7A32" w:rsidRDefault="00724997" w:rsidP="00DC7A32">
      <w:pPr>
        <w:pStyle w:val="Heading1"/>
      </w:pPr>
      <w:bookmarkStart w:id="2" w:name="O_1045984"/>
      <w:bookmarkEnd w:id="2"/>
      <w:r w:rsidRPr="00DC7A32">
        <w:t>Application</w:t>
      </w:r>
    </w:p>
    <w:p w:rsidR="00000000" w:rsidRPr="00DC7A32" w:rsidRDefault="00724997" w:rsidP="00724997">
      <w:pPr>
        <w:pStyle w:val="BodyText"/>
      </w:pPr>
      <w:r w:rsidRPr="00DC7A32">
        <w:t>This unit of competency specifies the skills and knowledge required to install supporting framework for fixtures and flashings for wet area construction of a bath, shower base, and prepare for wet area linings</w:t>
      </w:r>
      <w:r w:rsidRPr="00DC7A32">
        <w:t xml:space="preserve">, meeting all relevant requirements of the National Construction Code (NCC), Australian Standards, work health and safety (WHS), and Commonwealth and state or territory legislation. </w:t>
      </w:r>
    </w:p>
    <w:p w:rsidR="00000000" w:rsidRPr="00DC7A32" w:rsidRDefault="00724997" w:rsidP="00724997">
      <w:pPr>
        <w:pStyle w:val="BodyText"/>
      </w:pPr>
      <w:r w:rsidRPr="00DC7A32">
        <w:t>The unit includes setting out, cutting and fabrication of frames and inst</w:t>
      </w:r>
      <w:r w:rsidRPr="00DC7A32">
        <w:t>allation of frames in bathroom, laundry, shower, toilet and en suite wet areas.</w:t>
      </w:r>
    </w:p>
    <w:p w:rsidR="00000000" w:rsidRPr="00DC7A32" w:rsidRDefault="00724997" w:rsidP="00724997">
      <w:pPr>
        <w:pStyle w:val="BodyText"/>
      </w:pPr>
      <w:r w:rsidRPr="00DC7A32">
        <w:t>Completion of the general construction induction training program specified by the model Code of Practice for Construction Work is required for any person who is to carry out c</w:t>
      </w:r>
      <w:r w:rsidRPr="00DC7A32">
        <w:t xml:space="preserve">onstruction work. Achievement of </w:t>
      </w:r>
      <w:r w:rsidRPr="00DC7A32">
        <w:rPr>
          <w:rStyle w:val="Emphasis"/>
        </w:rPr>
        <w:t>CPCCWHS1001</w:t>
      </w:r>
      <w:r w:rsidRPr="00DC7A32">
        <w:t xml:space="preserve"> </w:t>
      </w:r>
      <w:r w:rsidRPr="00DC7A32">
        <w:rPr>
          <w:rStyle w:val="Emphasis"/>
        </w:rPr>
        <w:t>Prepare to work safely in the construction industry</w:t>
      </w:r>
      <w:r w:rsidRPr="00DC7A32">
        <w:t xml:space="preserve"> meets this requirement.</w:t>
      </w:r>
    </w:p>
    <w:p w:rsidR="00000000" w:rsidRPr="00DC7A32" w:rsidRDefault="00724997" w:rsidP="00724997">
      <w:pPr>
        <w:pStyle w:val="BodyText"/>
      </w:pPr>
      <w:r w:rsidRPr="00DC7A32">
        <w:t>No licensing, legislative or certification requirements apply to this unit at the time of publication.</w:t>
      </w:r>
    </w:p>
    <w:p w:rsidR="00000000" w:rsidRPr="00DC7A32" w:rsidRDefault="00724997" w:rsidP="00DC7A32">
      <w:pPr>
        <w:pStyle w:val="Heading1"/>
      </w:pPr>
      <w:bookmarkStart w:id="3" w:name="O_1045983"/>
      <w:bookmarkEnd w:id="3"/>
      <w:r w:rsidRPr="00DC7A32">
        <w:t>Pre-requisite</w:t>
      </w:r>
      <w:r w:rsidRPr="00DC7A32">
        <w:t xml:space="preserve"> Unit</w:t>
      </w:r>
    </w:p>
    <w:p w:rsidR="00000000" w:rsidRPr="00DC7A32" w:rsidRDefault="00724997" w:rsidP="00724997">
      <w:pPr>
        <w:pStyle w:val="BodyText"/>
      </w:pPr>
      <w:r w:rsidRPr="00DC7A32">
        <w:t>CPCCWHS2001 Apply WHS requirements, policies and procedures in the construction industry</w:t>
      </w:r>
    </w:p>
    <w:p w:rsidR="00000000" w:rsidRPr="00DC7A32" w:rsidRDefault="00724997" w:rsidP="00DC7A32">
      <w:pPr>
        <w:pStyle w:val="Heading1"/>
      </w:pPr>
      <w:bookmarkStart w:id="4" w:name="O_1045982"/>
      <w:bookmarkEnd w:id="4"/>
      <w:r w:rsidRPr="00DC7A32">
        <w:t>Unit Sector</w:t>
      </w:r>
    </w:p>
    <w:p w:rsidR="00000000" w:rsidRPr="00DC7A32" w:rsidRDefault="00724997" w:rsidP="00724997">
      <w:pPr>
        <w:pStyle w:val="BodyText"/>
      </w:pPr>
      <w:r w:rsidRPr="00DC7A32">
        <w:t>Carpentry and Joinery</w:t>
      </w:r>
    </w:p>
    <w:p w:rsidR="00000000" w:rsidRPr="00DC7A32" w:rsidRDefault="00724997" w:rsidP="00DC7A32">
      <w:pPr>
        <w:pStyle w:val="Heading1"/>
      </w:pPr>
      <w:bookmarkStart w:id="5" w:name="O_1045981"/>
      <w:bookmarkEnd w:id="5"/>
      <w:r w:rsidRPr="00DC7A32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3"/>
        <w:gridCol w:w="2357"/>
        <w:gridCol w:w="804"/>
        <w:gridCol w:w="5659"/>
      </w:tblGrid>
      <w:tr w:rsidR="00DC7A32" w:rsidTr="00DC7A32">
        <w:tc>
          <w:tcPr>
            <w:tcW w:w="26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Elements describe the essential outcomes.</w:t>
            </w:r>
          </w:p>
        </w:tc>
        <w:tc>
          <w:tcPr>
            <w:tcW w:w="646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Performance criteria describe what needs to be done to demonstrate achievement of the element.</w:t>
            </w:r>
          </w:p>
        </w:tc>
      </w:tr>
      <w:tr w:rsidR="00000000" w:rsidTr="00DC7A32">
        <w:tc>
          <w:tcPr>
            <w:tcW w:w="31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1</w:t>
            </w:r>
          </w:p>
        </w:tc>
        <w:tc>
          <w:tcPr>
            <w:tcW w:w="235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Plan and prepare.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1.1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 xml:space="preserve">Read and interpret work instructions and plan sequence </w:t>
            </w:r>
            <w:r w:rsidRPr="00DC7A32">
              <w:lastRenderedPageBreak/>
              <w:t>of work.</w:t>
            </w:r>
          </w:p>
        </w:tc>
      </w:tr>
      <w:tr w:rsidR="00000000" w:rsidTr="00DC7A32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1.2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 xml:space="preserve">Plan all work to comply with laws and regulations, the National </w:t>
            </w:r>
            <w:r w:rsidRPr="00DC7A32">
              <w:t>Construction Code (NCC), Australian Standards, work health and safety (WHS) and environmental requirements, manufacturers’ specifications, workplace requirements, drawings and specifications.</w:t>
            </w:r>
          </w:p>
        </w:tc>
      </w:tr>
      <w:tr w:rsidR="00000000" w:rsidTr="00DC7A32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1.3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Select tools and equipment, check for serviceability and report any faults.</w:t>
            </w:r>
          </w:p>
        </w:tc>
      </w:tr>
      <w:tr w:rsidR="00000000" w:rsidTr="00DC7A32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1.4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Select and use personal protective equipment (PPE) as required for each stage of the task.</w:t>
            </w:r>
          </w:p>
        </w:tc>
      </w:tr>
      <w:tr w:rsidR="00000000" w:rsidTr="00DC7A32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1.5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Inspect work site, locate services, assess hazards and apply risk controls,</w:t>
            </w:r>
            <w:r w:rsidRPr="00DC7A32">
              <w:t xml:space="preserve"> including required signage and barricades.</w:t>
            </w:r>
          </w:p>
        </w:tc>
      </w:tr>
      <w:tr w:rsidR="00000000" w:rsidTr="00DC7A32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1.6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Select materials required for task, calculate quantities, handle safely and prepare and position ready for use.</w:t>
            </w:r>
          </w:p>
        </w:tc>
      </w:tr>
      <w:tr w:rsidR="00DC7A32" w:rsidTr="00DC7A32">
        <w:tc>
          <w:tcPr>
            <w:tcW w:w="91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</w:p>
        </w:tc>
      </w:tr>
      <w:tr w:rsidR="00000000" w:rsidTr="00DC7A32">
        <w:tc>
          <w:tcPr>
            <w:tcW w:w="31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2</w:t>
            </w:r>
          </w:p>
        </w:tc>
        <w:tc>
          <w:tcPr>
            <w:tcW w:w="235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Construct frames for bath installation.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2.1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Set out noggings and housings for bath fitments and fixtures.</w:t>
            </w:r>
          </w:p>
        </w:tc>
      </w:tr>
      <w:tr w:rsidR="00000000" w:rsidTr="00DC7A32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2.2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Notch studs to height and level for required depth to receive lip of bath.</w:t>
            </w:r>
          </w:p>
        </w:tc>
      </w:tr>
      <w:tr w:rsidR="00000000" w:rsidTr="00DC7A32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2.3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Construct support to front edge of bath to height and level.</w:t>
            </w:r>
          </w:p>
        </w:tc>
      </w:tr>
      <w:tr w:rsidR="00000000" w:rsidTr="00DC7A32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2.4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Fit and fix noggings and jack studs flush for lining.</w:t>
            </w:r>
          </w:p>
        </w:tc>
      </w:tr>
      <w:tr w:rsidR="00DC7A32" w:rsidTr="00DC7A32">
        <w:tc>
          <w:tcPr>
            <w:tcW w:w="91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</w:p>
        </w:tc>
      </w:tr>
      <w:tr w:rsidR="00000000" w:rsidTr="00DC7A32">
        <w:tc>
          <w:tcPr>
            <w:tcW w:w="31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3</w:t>
            </w:r>
          </w:p>
        </w:tc>
        <w:tc>
          <w:tcPr>
            <w:tcW w:w="235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Construct frames for shower base installation.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3.1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Set out location of shower base, noggings and housings for shower fitments and fixtures.</w:t>
            </w:r>
          </w:p>
        </w:tc>
      </w:tr>
      <w:tr w:rsidR="00000000" w:rsidTr="00DC7A32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3.2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Mark and notch all plates and studs to required depth to receive shower base.</w:t>
            </w:r>
          </w:p>
        </w:tc>
      </w:tr>
      <w:tr w:rsidR="00000000" w:rsidTr="00DC7A32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3.3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Fit and fix noggings and jack studs flush to wall face for lining.</w:t>
            </w:r>
          </w:p>
        </w:tc>
      </w:tr>
      <w:tr w:rsidR="00000000" w:rsidTr="00DC7A32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3.4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Install corner flashing.</w:t>
            </w:r>
          </w:p>
        </w:tc>
      </w:tr>
      <w:tr w:rsidR="00DC7A32" w:rsidTr="00DC7A32">
        <w:tc>
          <w:tcPr>
            <w:tcW w:w="91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</w:p>
        </w:tc>
      </w:tr>
      <w:tr w:rsidR="00000000" w:rsidTr="00DC7A32">
        <w:tc>
          <w:tcPr>
            <w:tcW w:w="31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lastRenderedPageBreak/>
              <w:t>4</w:t>
            </w:r>
          </w:p>
        </w:tc>
        <w:tc>
          <w:tcPr>
            <w:tcW w:w="235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Clean up.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4.1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Clean up, meeting all legislative and workplace requirements for safety, waste disposal and materials handling.</w:t>
            </w:r>
          </w:p>
        </w:tc>
      </w:tr>
      <w:tr w:rsidR="00000000" w:rsidRPr="00DC7A32" w:rsidTr="00DC7A32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24997" w:rsidP="00DC7A32">
            <w:pPr>
              <w:pStyle w:val="BodyText"/>
              <w:rPr>
                <w:lang w:val="en-NZ"/>
              </w:rPr>
            </w:pPr>
            <w:r w:rsidRPr="00DC7A32">
              <w:t>4.2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C7A32" w:rsidRDefault="00724997" w:rsidP="00DC7A32">
            <w:pPr>
              <w:pStyle w:val="BodyText"/>
            </w:pPr>
            <w:r w:rsidRPr="00DC7A32">
              <w:t>Check, maintain and store tools and equipment and report any faults.</w:t>
            </w:r>
          </w:p>
        </w:tc>
      </w:tr>
    </w:tbl>
    <w:p w:rsidR="00000000" w:rsidRPr="00DC7A32" w:rsidRDefault="00724997" w:rsidP="00DC7A32">
      <w:pPr>
        <w:pStyle w:val="BodyText"/>
      </w:pPr>
    </w:p>
    <w:p w:rsidR="00000000" w:rsidRPr="00DC7A32" w:rsidRDefault="00724997" w:rsidP="00DC7A32">
      <w:pPr>
        <w:pStyle w:val="AllowPageBreak"/>
      </w:pPr>
    </w:p>
    <w:p w:rsidR="00000000" w:rsidRPr="00DC7A32" w:rsidRDefault="00724997" w:rsidP="00DC7A32">
      <w:pPr>
        <w:pStyle w:val="Heading1"/>
      </w:pPr>
      <w:bookmarkStart w:id="6" w:name="O_1045980"/>
      <w:bookmarkEnd w:id="6"/>
      <w:r w:rsidRPr="00DC7A32">
        <w:t>Foundation Skills</w:t>
      </w:r>
    </w:p>
    <w:p w:rsidR="00000000" w:rsidRPr="00DC7A32" w:rsidRDefault="00724997" w:rsidP="00724997">
      <w:pPr>
        <w:pStyle w:val="BodyText"/>
      </w:pPr>
      <w:r w:rsidRPr="00DC7A32">
        <w:t xml:space="preserve">Foundation skills essential to performance are explicit in the performance criteria of this unit of competency. </w:t>
      </w:r>
    </w:p>
    <w:p w:rsidR="00000000" w:rsidRPr="00DC7A32" w:rsidRDefault="00724997" w:rsidP="00DC7A32">
      <w:pPr>
        <w:pStyle w:val="Heading1"/>
      </w:pPr>
      <w:bookmarkStart w:id="7" w:name="O_1045979"/>
      <w:bookmarkEnd w:id="7"/>
      <w:r w:rsidRPr="00DC7A32">
        <w:t>Unit Mapping Information</w:t>
      </w:r>
    </w:p>
    <w:p w:rsidR="00000000" w:rsidRPr="00DC7A32" w:rsidRDefault="00724997" w:rsidP="00724997">
      <w:pPr>
        <w:pStyle w:val="BodyText"/>
      </w:pPr>
      <w:r w:rsidRPr="00DC7A32">
        <w:t>Supersedes and is equivalent to CPCCCA3012A Frame and fit wet area fixtures.</w:t>
      </w:r>
    </w:p>
    <w:p w:rsidR="00000000" w:rsidRPr="00DC7A32" w:rsidRDefault="00724997" w:rsidP="00DC7A32">
      <w:pPr>
        <w:pStyle w:val="Heading1"/>
      </w:pPr>
      <w:bookmarkStart w:id="8" w:name="O_1045972"/>
      <w:bookmarkEnd w:id="8"/>
      <w:r w:rsidRPr="00DC7A32">
        <w:t>Lin</w:t>
      </w:r>
      <w:r w:rsidRPr="00DC7A32">
        <w:t>ks</w:t>
      </w:r>
    </w:p>
    <w:p w:rsidR="00000000" w:rsidRPr="00DC7A32" w:rsidRDefault="00724997" w:rsidP="00724997">
      <w:pPr>
        <w:pStyle w:val="BodyText"/>
      </w:pPr>
      <w:r w:rsidRPr="00DC7A32">
        <w:t xml:space="preserve">Companion volumes to this training package are available at the VETNet website - </w:t>
      </w:r>
      <w:hyperlink r:id="rId13" w:history="1">
        <w:r w:rsidRPr="003E5287">
          <w:rPr>
            <w:rStyle w:val="Hyperlink"/>
          </w:rPr>
          <w:t>https://vetnet.gov.au/Pages/TrainingDocs.aspx?q=7e15fa6a-68b8-4097-b099-030a5569b1ad</w:t>
        </w:r>
      </w:hyperlink>
    </w:p>
    <w:p w:rsidR="00000000" w:rsidRPr="00DC7A32" w:rsidRDefault="00724997" w:rsidP="00DC7A32"/>
    <w:sectPr w:rsidR="00000000" w:rsidRPr="00DC7A32" w:rsidSect="00DC7A32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A32" w:rsidRDefault="00DC7A32" w:rsidP="00DC7A32">
      <w:r>
        <w:separator/>
      </w:r>
    </w:p>
  </w:endnote>
  <w:endnote w:type="continuationSeparator" w:id="0">
    <w:p w:rsidR="00DC7A32" w:rsidRDefault="00DC7A32" w:rsidP="00DC7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A32" w:rsidRDefault="00DC7A3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A32" w:rsidRPr="00724997" w:rsidRDefault="00DC7A32" w:rsidP="0072499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A32" w:rsidRDefault="00DC7A3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997" w:rsidRDefault="00724997" w:rsidP="00DC7A3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724997" w:rsidRDefault="00724997" w:rsidP="00DC7A3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724997" w:rsidRDefault="00724997" w:rsidP="00DC7A3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A32" w:rsidRDefault="00DC7A32" w:rsidP="00DC7A32">
      <w:r>
        <w:separator/>
      </w:r>
    </w:p>
  </w:footnote>
  <w:footnote w:type="continuationSeparator" w:id="0">
    <w:p w:rsidR="00DC7A32" w:rsidRDefault="00DC7A32" w:rsidP="00DC7A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A32" w:rsidRDefault="00DC7A3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997" w:rsidRDefault="0072499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3107217" wp14:editId="38F5B0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C7A32" w:rsidRPr="00724997" w:rsidRDefault="00DC7A32" w:rsidP="0072499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A32" w:rsidRDefault="00DC7A3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997" w:rsidRPr="002D2AF8" w:rsidRDefault="00724997" w:rsidP="00DC7A32">
    <w:pPr>
      <w:pStyle w:val="Header"/>
      <w:framePr w:wrap="around"/>
    </w:pPr>
    <w:fldSimple w:instr=" TITLE   \* MERGEFORMAT ">
      <w:r>
        <w:t>CPCCCA3012 Frame and fit wet area fixtures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December 2022</w:t>
    </w:r>
    <w:r>
      <w:fldChar w:fldCharType="end"/>
    </w:r>
  </w:p>
  <w:p w:rsidR="00724997" w:rsidRDefault="00724997" w:rsidP="00DC7A3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C7A32"/>
    <w:rsid w:val="00724997"/>
    <w:rsid w:val="00DC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A3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C7A3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C7A3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C7A3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C7A3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C7A3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C7A3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C7A3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C7A3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C7A3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C7A3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C7A32"/>
  </w:style>
  <w:style w:type="character" w:customStyle="1" w:styleId="Heading1Char">
    <w:name w:val="Heading 1 Char"/>
    <w:basedOn w:val="DefaultParagraphFont"/>
    <w:link w:val="Heading1"/>
    <w:rsid w:val="00DC7A3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C7A3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C7A32"/>
    <w:rPr>
      <w:rFonts w:ascii="Times New Roman" w:eastAsia="Times New Roman" w:hAnsi="Times New Roman" w:cs="Times New Roman"/>
      <w:sz w:val="24"/>
      <w:lang w:eastAsia="en-US"/>
    </w:rPr>
  </w:style>
  <w:style w:type="character" w:styleId="Emphasis">
    <w:name w:val="Emphasis"/>
    <w:basedOn w:val="DefaultParagraphFont"/>
    <w:qFormat/>
    <w:rsid w:val="00DC7A32"/>
    <w:rPr>
      <w:i/>
    </w:rPr>
  </w:style>
  <w:style w:type="paragraph" w:customStyle="1" w:styleId="SuperHeading">
    <w:name w:val="SuperHeading"/>
    <w:basedOn w:val="Normal"/>
    <w:rsid w:val="00DC7A3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C7A3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DC7A3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C7A3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C7A3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C7A3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C7A3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C7A3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C7A3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C7A3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C7A3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C7A3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C7A3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C7A3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C7A3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C7A3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C7A3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C7A3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C7A3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C7A3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C7A3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DC7A32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DC7A3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DC7A32"/>
    <w:rPr>
      <w:b/>
      <w:spacing w:val="0"/>
    </w:rPr>
  </w:style>
  <w:style w:type="paragraph" w:customStyle="1" w:styleId="SuperTitle">
    <w:name w:val="SuperTitle"/>
    <w:basedOn w:val="Title"/>
    <w:rsid w:val="00DC7A3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C7A3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C7A3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DC7A32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DC7A3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C7A3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C7A3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C7A3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C7A3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C7A3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C7A3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C7A3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C7A32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DC7A3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C7A3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C7A3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C7A32"/>
  </w:style>
  <w:style w:type="paragraph" w:styleId="TableofFigures">
    <w:name w:val="table of figures"/>
    <w:basedOn w:val="Normal"/>
    <w:next w:val="Normal"/>
    <w:semiHidden/>
    <w:rsid w:val="00DC7A3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C7A32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DC7A32"/>
    <w:rPr>
      <w:rFonts w:ascii="Wingdings" w:hAnsi="Wingdings"/>
    </w:rPr>
  </w:style>
  <w:style w:type="paragraph" w:customStyle="1" w:styleId="TableHeading">
    <w:name w:val="Table Heading"/>
    <w:basedOn w:val="HeadingBase"/>
    <w:rsid w:val="00DC7A3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C7A32"/>
    <w:rPr>
      <w:color w:val="0033CC"/>
      <w:u w:val="none"/>
    </w:rPr>
  </w:style>
  <w:style w:type="paragraph" w:customStyle="1" w:styleId="BodyTextRight">
    <w:name w:val="Body Text Right"/>
    <w:basedOn w:val="BodyText"/>
    <w:rsid w:val="00DC7A3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C7A3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C7A32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C7A3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C7A3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C7A3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C7A32"/>
    <w:rPr>
      <w:sz w:val="32"/>
    </w:rPr>
  </w:style>
  <w:style w:type="paragraph" w:customStyle="1" w:styleId="HeadingProcedure">
    <w:name w:val="Heading Procedure"/>
    <w:basedOn w:val="HeadingBase"/>
    <w:next w:val="Normal"/>
    <w:rsid w:val="00DC7A3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C7A32"/>
    <w:pPr>
      <w:spacing w:before="60" w:after="60"/>
    </w:pPr>
  </w:style>
  <w:style w:type="paragraph" w:styleId="ListContinue">
    <w:name w:val="List Continue"/>
    <w:basedOn w:val="List"/>
    <w:rsid w:val="00DC7A32"/>
    <w:pPr>
      <w:ind w:firstLine="0"/>
    </w:pPr>
  </w:style>
  <w:style w:type="paragraph" w:customStyle="1" w:styleId="ListNote">
    <w:name w:val="List Note"/>
    <w:basedOn w:val="List"/>
    <w:rsid w:val="00DC7A3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C7A3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C7A3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C7A32"/>
    <w:rPr>
      <w:rFonts w:ascii="Courier New" w:hAnsi="Courier New"/>
    </w:rPr>
  </w:style>
  <w:style w:type="paragraph" w:customStyle="1" w:styleId="NoteBullet">
    <w:name w:val="Note Bullet"/>
    <w:basedOn w:val="Note"/>
    <w:rsid w:val="00DC7A3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C7A3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C7A3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C7A3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C7A32"/>
    <w:pPr>
      <w:numPr>
        <w:numId w:val="9"/>
      </w:numPr>
    </w:pPr>
  </w:style>
  <w:style w:type="paragraph" w:styleId="PlainText">
    <w:name w:val="Plain Text"/>
    <w:basedOn w:val="Normal"/>
    <w:link w:val="PlainTextChar"/>
    <w:rsid w:val="00DC7A3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C7A3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C7A32"/>
    <w:rPr>
      <w:b/>
      <w:smallCaps/>
    </w:rPr>
  </w:style>
  <w:style w:type="paragraph" w:customStyle="1" w:styleId="TableListNumber">
    <w:name w:val="Table List Number"/>
    <w:basedOn w:val="ListNumber"/>
    <w:rsid w:val="00DC7A3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C7A3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C7A32"/>
    <w:pPr>
      <w:numPr>
        <w:numId w:val="7"/>
      </w:numPr>
    </w:pPr>
  </w:style>
  <w:style w:type="paragraph" w:customStyle="1" w:styleId="ListAlpha2">
    <w:name w:val="List Alpha 2"/>
    <w:basedOn w:val="List2"/>
    <w:rsid w:val="00DC7A32"/>
    <w:pPr>
      <w:numPr>
        <w:numId w:val="6"/>
      </w:numPr>
    </w:pPr>
  </w:style>
  <w:style w:type="paragraph" w:styleId="List2">
    <w:name w:val="List 2"/>
    <w:basedOn w:val="BodyText"/>
    <w:rsid w:val="00DC7A3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C7A3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C7A3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C7A3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C7A32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C7A32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DC7A32"/>
    <w:pPr>
      <w:numPr>
        <w:numId w:val="2"/>
      </w:numPr>
    </w:pPr>
  </w:style>
  <w:style w:type="paragraph" w:styleId="ListContinue2">
    <w:name w:val="List Continue 2"/>
    <w:basedOn w:val="List2"/>
    <w:rsid w:val="00DC7A32"/>
    <w:pPr>
      <w:ind w:firstLine="0"/>
    </w:pPr>
  </w:style>
  <w:style w:type="paragraph" w:styleId="ListContinue3">
    <w:name w:val="List Continue 3"/>
    <w:basedOn w:val="List3"/>
    <w:rsid w:val="00DC7A32"/>
    <w:pPr>
      <w:ind w:left="1021" w:firstLine="0"/>
    </w:pPr>
  </w:style>
  <w:style w:type="paragraph" w:styleId="ListContinue4">
    <w:name w:val="List Continue 4"/>
    <w:basedOn w:val="List4"/>
    <w:rsid w:val="00DC7A32"/>
    <w:pPr>
      <w:ind w:firstLine="0"/>
    </w:pPr>
  </w:style>
  <w:style w:type="paragraph" w:styleId="ListContinue5">
    <w:name w:val="List Continue 5"/>
    <w:basedOn w:val="List5"/>
    <w:rsid w:val="00DC7A32"/>
    <w:pPr>
      <w:ind w:firstLine="0"/>
    </w:pPr>
  </w:style>
  <w:style w:type="paragraph" w:styleId="ListNumber3">
    <w:name w:val="List Number 3"/>
    <w:basedOn w:val="List3"/>
    <w:rsid w:val="00DC7A32"/>
    <w:pPr>
      <w:numPr>
        <w:numId w:val="3"/>
      </w:numPr>
    </w:pPr>
  </w:style>
  <w:style w:type="paragraph" w:styleId="ListNumber4">
    <w:name w:val="List Number 4"/>
    <w:basedOn w:val="List4"/>
    <w:rsid w:val="00DC7A32"/>
    <w:pPr>
      <w:numPr>
        <w:numId w:val="4"/>
      </w:numPr>
    </w:pPr>
  </w:style>
  <w:style w:type="paragraph" w:styleId="ListNumber5">
    <w:name w:val="List Number 5"/>
    <w:basedOn w:val="List5"/>
    <w:rsid w:val="00DC7A32"/>
    <w:pPr>
      <w:numPr>
        <w:numId w:val="5"/>
      </w:numPr>
    </w:pPr>
  </w:style>
  <w:style w:type="paragraph" w:styleId="BlockText">
    <w:name w:val="Block Text"/>
    <w:basedOn w:val="Normal"/>
    <w:rsid w:val="00DC7A3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C7A3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C7A32"/>
    <w:rPr>
      <w:sz w:val="16"/>
      <w:vertAlign w:val="superscript"/>
    </w:rPr>
  </w:style>
  <w:style w:type="character" w:customStyle="1" w:styleId="Symbols">
    <w:name w:val="Symbols"/>
    <w:basedOn w:val="DefaultParagraphFont"/>
    <w:rsid w:val="00DC7A32"/>
    <w:rPr>
      <w:rFonts w:ascii="Symbol" w:hAnsi="Symbol"/>
    </w:rPr>
  </w:style>
  <w:style w:type="character" w:customStyle="1" w:styleId="MenuOptions">
    <w:name w:val="Menu Options"/>
    <w:basedOn w:val="DefaultParagraphFont"/>
    <w:rsid w:val="00DC7A3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C7A32"/>
    <w:rPr>
      <w:b/>
    </w:rPr>
  </w:style>
  <w:style w:type="character" w:customStyle="1" w:styleId="Underlined">
    <w:name w:val="Underlined"/>
    <w:basedOn w:val="DefaultParagraphFont"/>
    <w:rsid w:val="00DC7A32"/>
    <w:rPr>
      <w:u w:val="single"/>
    </w:rPr>
  </w:style>
  <w:style w:type="paragraph" w:customStyle="1" w:styleId="TableBodyTextRight">
    <w:name w:val="Table Body Text Right"/>
    <w:basedOn w:val="TableBodyText"/>
    <w:rsid w:val="00DC7A3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C7A32"/>
    <w:rPr>
      <w:sz w:val="18"/>
    </w:rPr>
  </w:style>
  <w:style w:type="paragraph" w:customStyle="1" w:styleId="BodySmallRight">
    <w:name w:val="Body Small Right"/>
    <w:basedOn w:val="BodyTextRight"/>
    <w:rsid w:val="00DC7A32"/>
    <w:rPr>
      <w:sz w:val="18"/>
      <w:szCs w:val="18"/>
    </w:rPr>
  </w:style>
  <w:style w:type="paragraph" w:customStyle="1" w:styleId="MarginEdition">
    <w:name w:val="Margin Edition"/>
    <w:basedOn w:val="MarginNote"/>
    <w:rsid w:val="00DC7A3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C7A32"/>
    <w:rPr>
      <w:sz w:val="2"/>
      <w:szCs w:val="2"/>
    </w:rPr>
  </w:style>
  <w:style w:type="character" w:customStyle="1" w:styleId="Small">
    <w:name w:val="Small"/>
    <w:basedOn w:val="DefaultParagraphFont"/>
    <w:rsid w:val="00DC7A32"/>
    <w:rPr>
      <w:sz w:val="16"/>
    </w:rPr>
  </w:style>
  <w:style w:type="paragraph" w:customStyle="1" w:styleId="WideTable">
    <w:name w:val="Wide Table"/>
    <w:basedOn w:val="Normal"/>
    <w:rsid w:val="00DC7A3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C7A32"/>
  </w:style>
  <w:style w:type="paragraph" w:styleId="Quote">
    <w:name w:val="Quote"/>
    <w:basedOn w:val="Heading1"/>
    <w:link w:val="QuoteChar"/>
    <w:qFormat/>
    <w:rsid w:val="00DC7A3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C7A3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C7A32"/>
    <w:pPr>
      <w:pageBreakBefore/>
    </w:pPr>
  </w:style>
  <w:style w:type="paragraph" w:customStyle="1" w:styleId="Border">
    <w:name w:val="Border"/>
    <w:basedOn w:val="Normal"/>
    <w:qFormat/>
    <w:rsid w:val="00DC7A3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C7A3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7A3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7A3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C7A3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C7A3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C7A3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C7A3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C7A3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C7A32"/>
    <w:rPr>
      <w:u w:val="single"/>
    </w:rPr>
  </w:style>
  <w:style w:type="character" w:customStyle="1" w:styleId="BoldandItalics">
    <w:name w:val="Bold and Italics"/>
    <w:qFormat/>
    <w:rsid w:val="00DC7A32"/>
    <w:rPr>
      <w:b/>
      <w:i/>
      <w:u w:val="none"/>
    </w:rPr>
  </w:style>
  <w:style w:type="paragraph" w:styleId="BalloonText">
    <w:name w:val="Balloon Text"/>
    <w:basedOn w:val="Normal"/>
    <w:link w:val="BalloonTextChar"/>
    <w:rsid w:val="00DC7A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7A3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C7A3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C7A3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C7A3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C7A3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C7A32"/>
    <w:pPr>
      <w:spacing w:before="0" w:after="0"/>
    </w:pPr>
  </w:style>
  <w:style w:type="paragraph" w:customStyle="1" w:styleId="BodyTextBold">
    <w:name w:val="Body Text Bold"/>
    <w:basedOn w:val="BodyText"/>
    <w:qFormat/>
    <w:rsid w:val="00DC7A32"/>
    <w:rPr>
      <w:b/>
    </w:rPr>
  </w:style>
  <w:style w:type="character" w:styleId="Hyperlink">
    <w:name w:val="Hyperlink"/>
    <w:basedOn w:val="DefaultParagraphFont"/>
    <w:uiPriority w:val="99"/>
    <w:unhideWhenUsed/>
    <w:rsid w:val="007249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7e15fa6a-68b8-4097-b099-030a5569b1ad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568</Words>
  <Characters>3294</Characters>
  <Application>Microsoft Office Word</Application>
  <DocSecurity>0</DocSecurity>
  <Lines>156</Lines>
  <Paragraphs>80</Paragraphs>
  <ScaleCrop>false</ScaleCrop>
  <Company>Author-it Software Corporation Ltd.</Company>
  <LinksUpToDate>false</LinksUpToDate>
  <CharactersWithSpaces>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CPCCCA3012 Frame and fit wet area fixtures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2022-12-08T08:16:00Z</dcterms:created>
  <dcterms:modified xsi:type="dcterms:W3CDTF">2022-12-08T08:16:00Z</dcterms:modified>
</cp:coreProperties>
</file>